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Capstone Project Write-up</w:t>
      </w:r>
    </w:p>
    <w:p>
      <w:pPr>
        <w:spacing w:after="60"/>
      </w:pPr>
      <w:r>
        <w:rPr>
          <w:b/>
          <w:bCs/>
        </w:rPr>
        <w:t xml:space="preserve">Programme: </w:t>
      </w:r>
      <w:r>
        <w:t xml:space="preserve">ICAI AI (AICA) — Level 2</w:t>
      </w:r>
    </w:p>
    <w:p>
      <w:pPr>
        <w:spacing w:after="60"/>
      </w:pPr>
      <w:r>
        <w:rPr>
          <w:b/>
          <w:bCs/>
        </w:rPr>
        <w:t xml:space="preserve">Batch No.: </w:t>
      </w:r>
      <w:r>
        <w:t xml:space="preserve">85</w:t>
      </w:r>
    </w:p>
    <w:p>
      <w:pPr>
        <w:spacing w:after="60"/>
      </w:pPr>
      <w:r>
        <w:rPr>
          <w:b/>
          <w:bCs/>
        </w:rPr>
        <w:t xml:space="preserve">Candidate: </w:t>
      </w:r>
      <w:r>
        <w:t xml:space="preserve">Divya Aggarwal</w:t>
      </w:r>
    </w:p>
    <w:p>
      <w:pPr>
        <w:spacing w:after="300"/>
      </w:pPr>
      <w:r>
        <w:rPr>
          <w:b/>
          <w:bCs/>
        </w:rPr>
        <w:t xml:space="preserve">Project title: </w:t>
      </w:r>
      <w:r>
        <w:t xml:space="preserve">GST Notice Analyser — a cloud AI workstation for handling GST notices</w:t>
      </w:r>
    </w:p>
    <w:p>
      <w:pPr>
        <w:pStyle w:val="Heading2"/>
      </w:pPr>
      <w:r>
        <w:t xml:space="preserve">1. Background and problem</w:t>
      </w:r>
    </w:p>
    <w:p>
      <w:pPr>
        <w:spacing w:after="160"/>
      </w:pPr>
      <w:r>
        <w:t xml:space="preserve">Every GST notice a Chartered Accountant receives — a DRC-01, an ASMT-10, a DRC-01A and so on — starts the same thirty-day clock and the same manual routine:</w:t>
      </w:r>
    </w:p>
    <w:p>
      <w:pPr>
        <w:pStyle w:val="ListParagraph"/>
        <w:numPr>
          <w:ilvl w:val="0"/>
          <w:numId w:val="1"/>
        </w:numPr>
        <w:spacing w:after="80"/>
      </w:pPr>
      <w:r>
        <w:t xml:space="preserve">read the notice and identify each issue and the demand behind it,</w:t>
      </w:r>
    </w:p>
    <w:p>
      <w:pPr>
        <w:pStyle w:val="ListParagraph"/>
        <w:numPr>
          <w:ilvl w:val="0"/>
          <w:numId w:val="1"/>
        </w:numPr>
        <w:spacing w:after="80"/>
      </w:pPr>
      <w:r>
        <w:t xml:space="preserve">decide which records are needed from the client to answer it,</w:t>
      </w:r>
    </w:p>
    <w:p>
      <w:pPr>
        <w:pStyle w:val="ListParagraph"/>
        <w:numPr>
          <w:ilvl w:val="0"/>
          <w:numId w:val="1"/>
        </w:numPr>
        <w:spacing w:after="80"/>
      </w:pPr>
      <w:r>
        <w:t xml:space="preserve">frame the questions to put to the client,</w:t>
      </w:r>
    </w:p>
    <w:p>
      <w:pPr>
        <w:pStyle w:val="ListParagraph"/>
        <w:numPr>
          <w:ilvl w:val="0"/>
          <w:numId w:val="1"/>
        </w:numPr>
        <w:spacing w:after="80"/>
      </w:pPr>
      <w:r>
        <w:t xml:space="preserve">follow up until those records arrive,</w:t>
      </w:r>
    </w:p>
    <w:p>
      <w:pPr>
        <w:pStyle w:val="ListParagraph"/>
        <w:numPr>
          <w:ilvl w:val="0"/>
          <w:numId w:val="1"/>
        </w:numPr>
        <w:spacing w:after="80"/>
      </w:pPr>
      <w:r>
        <w:t xml:space="preserve">and finally draft the written reply before the statutory deadline.</w:t>
      </w:r>
    </w:p>
    <w:p>
      <w:pPr>
        <w:spacing w:after="160"/>
      </w:pPr>
      <w:r>
        <w:t xml:space="preserve">This sequence is repeated, by hand, for every notice and every client. It is time-consuming, it is easy to miss a deadline when several notices run in parallel, and the low-value clerical work crowds out the part that actually needs a professional — the legal analysis and the reply itself.</w:t>
      </w:r>
    </w:p>
    <w:p>
      <w:pPr>
        <w:pStyle w:val="Heading2"/>
      </w:pPr>
      <w:r>
        <w:t xml:space="preserve">2. What the project does</w:t>
      </w:r>
    </w:p>
    <w:p>
      <w:pPr>
        <w:spacing w:after="160"/>
      </w:pPr>
      <w:r>
        <w:t xml:space="preserve">The GST Notice Analyser is a cloud-backed web application that takes </w:t>
      </w:r>
      <w:r>
        <w:rPr>
          <w:b/>
          <w:bCs/>
        </w:rPr>
        <w:t xml:space="preserve">one notice</w:t>
      </w:r>
      <w:r>
        <w:t xml:space="preserve"> and produces the </w:t>
      </w:r>
      <w:r>
        <w:rPr>
          <w:b/>
          <w:bCs/>
        </w:rPr>
        <w:t xml:space="preserve">whole working file</w:t>
      </w:r>
      <w:r>
        <w:t xml:space="preserve"> automatically. Each Chartered Accountant signs in with their own account; everyone in the same firm shares that firm’s clients and notices, held in a Supabase database with per-firm access control. The CA uploads the notice once; the application extracts it, and then builds — without any further data entry — the list of documents to obtain from the client, the client discussion points, the statutory deadline entry, and a first draft of the reply and the covering emails.</w:t>
      </w:r>
    </w:p>
    <w:p>
      <w:pPr>
        <w:spacing w:after="160"/>
      </w:pPr>
      <w:r>
        <w:t xml:space="preserve">The professional’s judgement is never removed. Every extracted figure is editable and must be verified by the CA, and every legal position in the draft reply is marked </w:t>
      </w:r>
      <w:r>
        <w:rPr>
          <w:i/>
          <w:iCs/>
        </w:rPr>
        <w:t xml:space="preserve">“Verify before use”</w:t>
      </w:r>
      <w:r>
        <w:t xml:space="preserve">. The tool prepares; the Chartered Accountant reviews and signs.</w:t>
      </w:r>
    </w:p>
    <w:p>
      <w:pPr>
        <w:pStyle w:val="Heading2"/>
      </w:pPr>
      <w:r>
        <w:t xml:space="preserve">3. How it works</w:t>
      </w:r>
    </w:p>
    <w:p>
      <w:pPr>
        <w:spacing w:after="120"/>
      </w:pPr>
      <w:r>
        <w:rPr>
          <w:b/>
          <w:bCs/>
        </w:rPr>
        <w:t xml:space="preserve">1. </w:t>
      </w:r>
      <w:r>
        <w:rPr>
          <w:b/>
          <w:bCs/>
        </w:rPr>
        <w:t xml:space="preserve">Sign in</w:t>
      </w:r>
      <w:r>
        <w:t xml:space="preserve">, and create or join a firm — every user belongs to a firm, and a firm’s clients and notices are visible only to its own members.</w:t>
      </w:r>
    </w:p>
    <w:p>
      <w:pPr>
        <w:spacing w:after="120"/>
      </w:pPr>
      <w:r>
        <w:rPr>
          <w:b/>
          <w:bCs/>
        </w:rPr>
        <w:t xml:space="preserve">2. </w:t>
      </w:r>
      <w:r>
        <w:rPr>
          <w:b/>
          <w:bCs/>
        </w:rPr>
        <w:t xml:space="preserve">Add the client</w:t>
      </w:r>
      <w:r>
        <w:t xml:space="preserve"> — legal name and 15-digit GSTIN.</w:t>
      </w:r>
    </w:p>
    <w:p>
      <w:pPr>
        <w:spacing w:after="120"/>
      </w:pPr>
      <w:r>
        <w:rPr>
          <w:b/>
          <w:bCs/>
        </w:rPr>
        <w:t xml:space="preserve">3. </w:t>
      </w:r>
      <w:r>
        <w:rPr>
          <w:b/>
          <w:bCs/>
        </w:rPr>
        <w:t xml:space="preserve">Add the notice</w:t>
      </w:r>
      <w:r>
        <w:t xml:space="preserve"> — upload the PDF, scanned image, or paste its text.</w:t>
      </w:r>
    </w:p>
    <w:p>
      <w:pPr>
        <w:spacing w:after="120"/>
      </w:pPr>
      <w:r>
        <w:rPr>
          <w:b/>
          <w:bCs/>
        </w:rPr>
        <w:t xml:space="preserve">4. </w:t>
      </w:r>
      <w:r>
        <w:rPr>
          <w:b/>
          <w:bCs/>
        </w:rPr>
        <w:t xml:space="preserve">Extraction.</w:t>
      </w:r>
      <w:r>
        <w:t xml:space="preserve"> Two options — using Claude.ai at no additional cost (the app generates a structured prompt, the CA runs it in their existing Claude.ai chat, and pastes the result back), or automatically via a server-side extraction endpoint if the firm has configured one.</w:t>
      </w:r>
    </w:p>
    <w:p>
      <w:pPr>
        <w:spacing w:after="120"/>
      </w:pPr>
      <w:r>
        <w:rPr>
          <w:b/>
          <w:bCs/>
        </w:rPr>
        <w:t xml:space="preserve">5. </w:t>
      </w:r>
      <w:r>
        <w:rPr>
          <w:b/>
          <w:bCs/>
        </w:rPr>
        <w:t xml:space="preserve">On save</w:t>
      </w:r>
      <w:r>
        <w:t xml:space="preserve">, the extracted issues are automatically distributed across every module — the document tracker, the client discussion log, and the deadline register — and the notice is attached to the matching client by its GSTIN.</w:t>
      </w:r>
    </w:p>
    <w:p>
      <w:pPr>
        <w:spacing w:after="120"/>
      </w:pPr>
      <w:r>
        <w:rPr>
          <w:b/>
          <w:bCs/>
        </w:rPr>
        <w:t xml:space="preserve">6. </w:t>
      </w:r>
      <w:r>
        <w:rPr>
          <w:b/>
          <w:bCs/>
        </w:rPr>
        <w:t xml:space="preserve">Review and work the case</w:t>
      </w:r>
      <w:r>
        <w:t xml:space="preserve"> — the CA verifies the extraction in the Side-by-Side view, tracks documents as they come in, records the client’s answers against each question, and generates the Word reply and client emails.</w:t>
      </w:r>
    </w:p>
    <w:p>
      <w:pPr>
        <w:pStyle w:val="Heading2"/>
      </w:pPr>
      <w:r>
        <w:t xml:space="preserve">4. Use of AI</w:t>
      </w:r>
    </w:p>
    <w:p>
      <w:pPr>
        <w:spacing w:after="160"/>
      </w:pPr>
      <w:r>
        <w:t xml:space="preserve">Anthropic’s Claude model is used for the structured extraction of the notice: the reference number, DIN, financial year, period, reply deadline, hearing date, the sections and rules invoked, the demand split into tax / interest / penalty, and — for each issue — the department’s allegation, the probable reason it arose, the portal figure it was drawn from, the documents and reconciliation required, the questions to ask the client, the defence points, the applicable case law, and a risk rating.</w:t>
      </w:r>
    </w:p>
    <w:p>
      <w:pPr>
        <w:spacing w:after="160"/>
      </w:pPr>
      <w:r>
        <w:t xml:space="preserve">The AI performs reading and organisation, not decision-making. Its output is a draft that the Chartered Accountant checks against the notice and takes responsibility for.</w:t>
      </w:r>
    </w:p>
    <w:p>
      <w:pPr>
        <w:pStyle w:val="Heading2"/>
      </w:pPr>
      <w:r>
        <w:t xml:space="preserve">5.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4"/>
              <w:left w:val="single" w:color="CCCCCC" w:sz="4"/>
              <w:bottom w:val="single" w:color="CCCCCC" w:sz="4"/>
              <w:right w:val="single" w:color="CCCCCC" w:sz="4"/>
            </w:tcBorders>
            <w:shd w:fill="4338CA" w:val="clear"/>
            <w:tcMar>
              <w:top w:type="dxa" w:w="100"/>
              <w:left w:type="dxa" w:w="150"/>
              <w:bottom w:type="dxa" w:w="100"/>
              <w:right w:type="dxa" w:w="150"/>
            </w:tcMar>
          </w:tcPr>
          <w:p>
            <w:r>
              <w:rPr>
                <w:b/>
                <w:bCs/>
                <w:color w:val="FFFFFF"/>
              </w:rPr>
              <w:t xml:space="preserve">Area</w:t>
            </w:r>
          </w:p>
        </w:tc>
        <w:tc>
          <w:tcPr>
            <w:tcW w:type="pct" w:w="70%"/>
            <w:tcBorders>
              <w:top w:val="single" w:color="CCCCCC" w:sz="4"/>
              <w:left w:val="single" w:color="CCCCCC" w:sz="4"/>
              <w:bottom w:val="single" w:color="CCCCCC" w:sz="4"/>
              <w:right w:val="single" w:color="CCCCCC" w:sz="4"/>
            </w:tcBorders>
            <w:shd w:fill="4338CA" w:val="clear"/>
            <w:tcMar>
              <w:top w:type="dxa" w:w="100"/>
              <w:left w:type="dxa" w:w="150"/>
              <w:bottom w:type="dxa" w:w="100"/>
              <w:right w:type="dxa" w:w="150"/>
            </w:tcMar>
          </w:tcPr>
          <w:p>
            <w:r>
              <w:rPr>
                <w:b/>
                <w:bCs/>
                <w:color w:val="FFFFFF"/>
              </w:rPr>
              <w:t xml:space="preserve">Choice</w:t>
            </w:r>
          </w:p>
        </w:tc>
      </w:tr>
      <w:tr>
        <w:tc>
          <w:tcPr>
            <w:tcW w:type="pct" w:w="3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b w:val="false"/>
                <w:bCs w:val="false"/>
              </w:rPr>
              <w:t xml:space="preserve">Language</w:t>
            </w:r>
          </w:p>
        </w:tc>
        <w:tc>
          <w:tcPr>
            <w:tcW w:type="pct" w:w="7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b w:val="false"/>
                <w:bCs w:val="false"/>
              </w:rPr>
              <w:t xml:space="preserve">TypeScript</w:t>
            </w:r>
          </w:p>
        </w:tc>
      </w:tr>
      <w:tr>
        <w:tc>
          <w:tcPr>
            <w:tcW w:type="pct" w:w="3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b w:val="false"/>
                <w:bCs w:val="false"/>
              </w:rPr>
              <w:t xml:space="preserve">User interface</w:t>
            </w:r>
          </w:p>
        </w:tc>
        <w:tc>
          <w:tcPr>
            <w:tcW w:type="pct" w:w="7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b w:val="false"/>
                <w:bCs w:val="false"/>
              </w:rPr>
              <w:t xml:space="preserve">React 19 with Vite</w:t>
            </w:r>
          </w:p>
        </w:tc>
      </w:tr>
      <w:tr>
        <w:tc>
          <w:tcPr>
            <w:tcW w:type="pct" w:w="3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b w:val="false"/>
                <w:bCs w:val="false"/>
              </w:rPr>
              <w:t xml:space="preserve">Styling</w:t>
            </w:r>
          </w:p>
        </w:tc>
        <w:tc>
          <w:tcPr>
            <w:tcW w:type="pct" w:w="7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b w:val="false"/>
                <w:bCs w:val="false"/>
              </w:rPr>
              <w:t xml:space="preserve">Tailwind CSS</w:t>
            </w:r>
          </w:p>
        </w:tc>
      </w:tr>
      <w:tr>
        <w:tc>
          <w:tcPr>
            <w:tcW w:type="pct" w:w="3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b w:val="false"/>
                <w:bCs w:val="false"/>
              </w:rPr>
              <w:t xml:space="preserve">Backend</w:t>
            </w:r>
          </w:p>
        </w:tc>
        <w:tc>
          <w:tcPr>
            <w:tcW w:type="pct" w:w="7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b w:val="false"/>
                <w:bCs w:val="false"/>
              </w:rPr>
              <w:t xml:space="preserve">Supabase — Postgres database, authentication, Row-Level Security</w:t>
            </w:r>
          </w:p>
        </w:tc>
      </w:tr>
      <w:tr>
        <w:tc>
          <w:tcPr>
            <w:tcW w:type="pct" w:w="3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b w:val="false"/>
                <w:bCs w:val="false"/>
              </w:rPr>
              <w:t xml:space="preserve">Document generation</w:t>
            </w:r>
          </w:p>
        </w:tc>
        <w:tc>
          <w:tcPr>
            <w:tcW w:type="pct" w:w="7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b w:val="false"/>
                <w:bCs w:val="false"/>
              </w:rPr>
              <w:t xml:space="preserve">docx for Word replies, xlsx for Excel exports</w:t>
            </w:r>
          </w:p>
        </w:tc>
      </w:tr>
      <w:tr>
        <w:tc>
          <w:tcPr>
            <w:tcW w:type="pct" w:w="3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b w:val="false"/>
                <w:bCs w:val="false"/>
              </w:rPr>
              <w:t xml:space="preserve">AI</w:t>
            </w:r>
          </w:p>
        </w:tc>
        <w:tc>
          <w:tcPr>
            <w:tcW w:type="pct" w:w="7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b w:val="false"/>
                <w:bCs w:val="false"/>
              </w:rPr>
              <w:t xml:space="preserve">Anthropic Claude — via a server-side extraction endpoint, or manual copy-paste</w:t>
            </w:r>
          </w:p>
        </w:tc>
      </w:tr>
    </w:tbl>
    <w:p>
      <w:pPr>
        <w:spacing w:after="160" w:before="200"/>
      </w:pPr>
      <w:r>
        <w:t xml:space="preserve">The application is a multi-user web build: each Chartered Accountant signs in with their own account, and firm membership determines which clients and notices they can see.</w:t>
      </w:r>
    </w:p>
    <w:p>
      <w:pPr>
        <w:pStyle w:val="Heading2"/>
      </w:pPr>
      <w:r>
        <w:t xml:space="preserve">6. Data privacy</w:t>
      </w:r>
    </w:p>
    <w:p>
      <w:pPr>
        <w:pStyle w:val="ListParagraph"/>
        <w:numPr>
          <w:ilvl w:val="0"/>
          <w:numId w:val="1"/>
        </w:numPr>
        <w:spacing w:after="80"/>
      </w:pPr>
      <w:r>
        <w:t xml:space="preserve">Client data — GSTINs, notices, document trackers, discussion logs — is stored in a Supabase Postgres database. Row-Level Security scopes every read and write to the firms the signed-in user belongs to, so one firm can never see another firm’s data.</w:t>
      </w:r>
    </w:p>
    <w:p>
      <w:pPr>
        <w:pStyle w:val="ListParagraph"/>
        <w:numPr>
          <w:ilvl w:val="0"/>
          <w:numId w:val="1"/>
        </w:numPr>
        <w:spacing w:after="80"/>
      </w:pPr>
      <w:r>
        <w:t xml:space="preserve">Notice content leaves the machine only when the Chartered Accountant explicitly chooses to send it to Claude for extraction.</w:t>
      </w:r>
    </w:p>
    <w:p>
      <w:pPr>
        <w:pStyle w:val="Heading2"/>
      </w:pPr>
      <w:r>
        <w:t xml:space="preserve">7. Modules in the submitted build</w:t>
      </w:r>
    </w:p>
    <w:p>
      <w:pPr>
        <w:spacing w:after="120"/>
      </w:pPr>
      <w:r>
        <w:rPr>
          <w:b/>
          <w:bCs/>
        </w:rPr>
        <w:t xml:space="preserve">1. </w:t>
      </w:r>
      <w:r>
        <w:rPr>
          <w:b/>
          <w:bCs/>
        </w:rPr>
        <w:t xml:space="preserve">Add Notice</w:t>
      </w:r>
      <w:r>
        <w:t xml:space="preserve"> — upload and extract.</w:t>
      </w:r>
    </w:p>
    <w:p>
      <w:pPr>
        <w:spacing w:after="120"/>
      </w:pPr>
      <w:r>
        <w:rPr>
          <w:b/>
          <w:bCs/>
        </w:rPr>
        <w:t xml:space="preserve">2. </w:t>
      </w:r>
      <w:r>
        <w:rPr>
          <w:b/>
          <w:bCs/>
        </w:rPr>
        <w:t xml:space="preserve">Cases Overview</w:t>
      </w:r>
      <w:r>
        <w:t xml:space="preserve"> — all clients and notices with the demand summary and deadline.</w:t>
      </w:r>
    </w:p>
    <w:p>
      <w:pPr>
        <w:spacing w:after="120"/>
      </w:pPr>
      <w:r>
        <w:rPr>
          <w:b/>
          <w:bCs/>
        </w:rPr>
        <w:t xml:space="preserve">3. </w:t>
      </w:r>
      <w:r>
        <w:rPr>
          <w:b/>
          <w:bCs/>
        </w:rPr>
        <w:t xml:space="preserve">Side-by-Side Analysis</w:t>
      </w:r>
      <w:r>
        <w:t xml:space="preserve"> — extracted metadata and issues beside the original notice; every figure editable and verifiable.</w:t>
      </w:r>
    </w:p>
    <w:p>
      <w:pPr>
        <w:spacing w:after="120"/>
      </w:pPr>
      <w:r>
        <w:rPr>
          <w:b/>
          <w:bCs/>
        </w:rPr>
        <w:t xml:space="preserve">4. </w:t>
      </w:r>
      <w:r>
        <w:rPr>
          <w:b/>
          <w:bCs/>
        </w:rPr>
        <w:t xml:space="preserve">Document Tracker</w:t>
      </w:r>
      <w:r>
        <w:t xml:space="preserve"> — the records to obtain from the client, generated from the issues, with status tracking and Excel import/export.</w:t>
      </w:r>
    </w:p>
    <w:p>
      <w:pPr>
        <w:spacing w:after="120"/>
      </w:pPr>
      <w:r>
        <w:rPr>
          <w:b/>
          <w:bCs/>
        </w:rPr>
        <w:t xml:space="preserve">5. </w:t>
      </w:r>
      <w:r>
        <w:rPr>
          <w:b/>
          <w:bCs/>
        </w:rPr>
        <w:t xml:space="preserve">Client Discussion</w:t>
      </w:r>
      <w:r>
        <w:t xml:space="preserve"> — a discussion log per notice, pre-seeded with the questions to ask for each issue.</w:t>
      </w:r>
    </w:p>
    <w:p>
      <w:pPr>
        <w:spacing w:after="120"/>
      </w:pPr>
      <w:r>
        <w:rPr>
          <w:b/>
          <w:bCs/>
        </w:rPr>
        <w:t xml:space="preserve">6. </w:t>
      </w:r>
      <w:r>
        <w:rPr>
          <w:b/>
          <w:bCs/>
        </w:rPr>
        <w:t xml:space="preserve">Reply &amp; Email Studio</w:t>
      </w:r>
      <w:r>
        <w:t xml:space="preserve"> — a ready-to-file legal reply in Microsoft Word, plus structured client document-request and follow-up emails.</w:t>
      </w:r>
    </w:p>
    <w:p>
      <w:pPr>
        <w:spacing w:after="120"/>
      </w:pPr>
      <w:r>
        <w:rPr>
          <w:b/>
          <w:bCs/>
        </w:rPr>
        <w:t xml:space="preserve">7. </w:t>
      </w:r>
      <w:r>
        <w:rPr>
          <w:b/>
          <w:bCs/>
        </w:rPr>
        <w:t xml:space="preserve">Statutory Deadlines</w:t>
      </w:r>
      <w:r>
        <w:t xml:space="preserve"> — the reply windows and personal-hearing dates across all clients.</w:t>
      </w:r>
    </w:p>
    <w:p>
      <w:pPr>
        <w:spacing w:after="120"/>
      </w:pPr>
      <w:r>
        <w:rPr>
          <w:b/>
          <w:bCs/>
        </w:rPr>
        <w:t xml:space="preserve">8. </w:t>
      </w:r>
      <w:r>
        <w:rPr>
          <w:b/>
          <w:bCs/>
        </w:rPr>
        <w:t xml:space="preserve">GST Law &amp; Notice Guide</w:t>
      </w:r>
      <w:r>
        <w:t xml:space="preserve"> — built-in reference on CBIC Circular 183/2022 and 193/2023 and the working method.</w:t>
      </w:r>
    </w:p>
    <w:p>
      <w:pPr>
        <w:pStyle w:val="Heading2"/>
      </w:pPr>
      <w:r>
        <w:t xml:space="preserve">8. Outcome</w:t>
      </w:r>
    </w:p>
    <w:p>
      <w:pPr>
        <w:spacing w:after="160"/>
      </w:pPr>
      <w:r>
        <w:t xml:space="preserve">For a Chartered Accountant, the project converts roughly a fortnight of clerical work around each notice into an afternoon of review. It demonstrates a practical, day-to-day application of a large language model to a real professional workflow, with the Chartered Accountant kept firmly in control of the output, and with each firm’s data kept isolated from every other firm’s by database-enforced access control.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pPr>
    <w:rPr>
      <w:b/>
      <w:bCs/>
      <w:color w:val="312E81"/>
      <w:sz w:val="40"/>
      <w:szCs w:val="40"/>
    </w:rPr>
  </w:style>
  <w:style w:type="paragraph" w:styleId="Heading2">
    <w:name w:val="Heading 2"/>
    <w:basedOn w:val="Normal"/>
    <w:next w:val="Normal"/>
    <w:qFormat/>
    <w:pPr>
      <w:spacing w:after="160" w:before="320"/>
    </w:pPr>
    <w:rPr>
      <w:b/>
      <w:bCs/>
      <w:color w:val="4338C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2026-09-05T07:29:48.776Z</dcterms:created>
  <dcterms:modified xsi:type="dcterms:W3CDTF">2026-09-05T07:29:48.776Z</dcterms:modified>
</cp:coreProperties>
</file>

<file path=docProps/custom.xml><?xml version="1.0" encoding="utf-8"?>
<Properties xmlns="http://schemas.openxmlformats.org/officeDocument/2006/custom-properties" xmlns:vt="http://schemas.openxmlformats.org/officeDocument/2006/docPropsVTypes"/>
</file>