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before="200"/>
        <w:ind w:left="0"/>
        <w:jc w:val="center"/>
      </w:pPr>
      <w:r>
        <w:rPr>
          <w:rFonts w:ascii="Calibri" w:cs="Calibri" w:eastAsia="Calibri" w:hAnsi="Calibri"/>
          <w:b/>
          <w:bCs/>
          <w:color w:val="FFFFFF"/>
          <w:sz w:val="52"/>
          <w:szCs w:val="52"/>
        </w:rPr>
        <w:t xml:space="preserve">COMPANY PROFILE</w:t>
      </w:r>
    </w:p>
    <w:p>
      <w:pPr>
        <w:shd w:fill="1F3864" w:val="clear"/>
        <w:spacing w:after="0"/>
        <w:jc w:val="center"/>
      </w:pPr>
      <w:r>
        <w:rPr>
          <w:rFonts w:ascii="Calibri" w:cs="Calibri" w:eastAsia="Calibri" w:hAnsi="Calibri"/>
          <w:b/>
          <w:bCs/>
          <w:color w:val="FFFFFF"/>
          <w:sz w:val="32"/>
          <w:szCs w:val="32"/>
        </w:rPr>
        <w:t xml:space="preserve">Vanraj Furniture Industries Private Limited</w:t>
      </w:r>
    </w:p>
    <w:p>
      <w:pPr>
        <w:shd w:fill="1F3864" w:val="clear"/>
        <w:spacing w:after="280"/>
        <w:jc w:val="center"/>
      </w:pPr>
      <w:r>
        <w:rPr>
          <w:rFonts w:ascii="Calibri" w:cs="Calibri" w:eastAsia="Calibri" w:hAnsi="Calibri"/>
          <w:color w:val="FFFFFF"/>
          <w:sz w:val="20"/>
          <w:szCs w:val="20"/>
        </w:rPr>
        <w:t xml:space="preserve">CIN: U36101MH2009PTC194327  |  Valuation date: 1 June 2026</w:t>
      </w:r>
    </w:p>
    <w:p>
      <w:pPr>
        <w:spacing w:after="60"/>
      </w:pPr>
    </w:p>
    <w:p>
      <w:pPr>
        <w:pStyle w:val="Heading1"/>
        <w:pBdr>
          <w:bottom w:val="single" w:color="1F3864" w:sz="6"/>
        </w:pBdr>
        <w:spacing w:after="100" w:before="280"/>
        <w:rPr>
          <w:rFonts w:ascii="Calibri" w:cs="Calibri" w:eastAsia="Calibri" w:hAnsi="Calibri"/>
          <w:b/>
          <w:bCs/>
          <w:color w:val="1F3864"/>
          <w:sz w:val="24"/>
          <w:szCs w:val="24"/>
        </w:rPr>
      </w:pPr>
      <w:r>
        <w:t xml:space="preserve">1.  Corporate Identity</w:t>
      </w:r>
    </w:p>
    <w:p>
      <w:pPr>
        <w:spacing w:after="60"/>
      </w:pPr>
    </w:p>
    <w:tbl>
      <w:tblPr>
        <w:tblW w:type="dxa" w:w="10440"/>
        <w:tblBorders>
          <w:top w:val="single" w:color="CCCCCC" w:sz="4"/>
          <w:left w:val="single" w:color="CCCCCC" w:sz="4"/>
          <w:bottom w:val="single" w:color="CCCCCC" w:sz="4"/>
          <w:right w:val="single" w:color="CCCCCC" w:sz="4"/>
          <w:insideH w:val="single" w:color="auto" w:sz="4"/>
          <w:insideV w:val="single" w:color="auto" w:sz="4"/>
        </w:tblBorders>
      </w:tblPr>
      <w:tblGrid>
        <w:gridCol w:w="3600"/>
        <w:gridCol w:w="6840"/>
      </w:tblGrid>
      <w:tr>
        <w:tc>
          <w:tcPr>
            <w:tcW w:type="dxa" w:w="3600"/>
            <w:shd w:fill="F2F4F8" w:val="clear"/>
            <w:tcMar>
              <w:top w:type="dxa" w:w="60"/>
              <w:left w:type="dxa" w:w="100"/>
              <w:bottom w:type="dxa" w:w="60"/>
              <w:right w:type="dxa" w:w="100"/>
            </w:tcMar>
          </w:tcPr>
          <w:p>
            <w:pPr>
              <w:spacing w:after="100"/>
            </w:pPr>
            <w:r>
              <w:rPr>
                <w:rFonts w:ascii="Calibri" w:cs="Calibri" w:eastAsia="Calibri" w:hAnsi="Calibri"/>
                <w:b/>
                <w:bCs/>
                <w:color w:val="000000"/>
                <w:sz w:val="20"/>
                <w:szCs w:val="20"/>
              </w:rPr>
              <w:t xml:space="preserve">Name</w:t>
            </w:r>
          </w:p>
        </w:tc>
        <w:tc>
          <w:tcPr>
            <w:tcW w:type="dxa" w:w="6840"/>
            <w:tcMar>
              <w:top w:type="dxa" w:w="60"/>
              <w:left w:type="dxa" w:w="100"/>
              <w:bottom w:type="dxa" w:w="60"/>
              <w:right w:type="dxa" w:w="100"/>
            </w:tcMar>
          </w:tcPr>
          <w:p>
            <w:pPr>
              <w:spacing w:after="100"/>
            </w:pPr>
            <w:r>
              <w:rPr>
                <w:rFonts w:ascii="Calibri" w:cs="Calibri" w:eastAsia="Calibri" w:hAnsi="Calibri"/>
                <w:color w:val="000000"/>
                <w:sz w:val="20"/>
                <w:szCs w:val="20"/>
              </w:rPr>
              <w:t xml:space="preserve">Vanraj Furniture Industries Private Limited</w:t>
            </w:r>
          </w:p>
        </w:tc>
      </w:tr>
      <w:tr>
        <w:tc>
          <w:tcPr>
            <w:tcW w:type="dxa" w:w="3600"/>
            <w:shd w:fill="F2F4F8" w:val="clear"/>
            <w:tcMar>
              <w:top w:type="dxa" w:w="60"/>
              <w:left w:type="dxa" w:w="100"/>
              <w:bottom w:type="dxa" w:w="60"/>
              <w:right w:type="dxa" w:w="100"/>
            </w:tcMar>
          </w:tcPr>
          <w:p>
            <w:pPr>
              <w:spacing w:after="100"/>
            </w:pPr>
            <w:r>
              <w:rPr>
                <w:rFonts w:ascii="Calibri" w:cs="Calibri" w:eastAsia="Calibri" w:hAnsi="Calibri"/>
                <w:b/>
                <w:bCs/>
                <w:color w:val="000000"/>
                <w:sz w:val="20"/>
                <w:szCs w:val="20"/>
              </w:rPr>
              <w:t xml:space="preserve">CIN</w:t>
            </w:r>
          </w:p>
        </w:tc>
        <w:tc>
          <w:tcPr>
            <w:tcW w:type="dxa" w:w="6840"/>
            <w:tcMar>
              <w:top w:type="dxa" w:w="60"/>
              <w:left w:type="dxa" w:w="100"/>
              <w:bottom w:type="dxa" w:w="60"/>
              <w:right w:type="dxa" w:w="100"/>
            </w:tcMar>
          </w:tcPr>
          <w:p>
            <w:pPr>
              <w:spacing w:after="100"/>
            </w:pPr>
            <w:r>
              <w:rPr>
                <w:rFonts w:ascii="Calibri" w:cs="Calibri" w:eastAsia="Calibri" w:hAnsi="Calibri"/>
                <w:color w:val="000000"/>
                <w:sz w:val="20"/>
                <w:szCs w:val="20"/>
              </w:rPr>
              <w:t xml:space="preserve">U36101MH2009PTC194327</w:t>
            </w:r>
          </w:p>
        </w:tc>
      </w:tr>
      <w:tr>
        <w:tc>
          <w:tcPr>
            <w:tcW w:type="dxa" w:w="3600"/>
            <w:shd w:fill="F2F4F8" w:val="clear"/>
            <w:tcMar>
              <w:top w:type="dxa" w:w="60"/>
              <w:left w:type="dxa" w:w="100"/>
              <w:bottom w:type="dxa" w:w="60"/>
              <w:right w:type="dxa" w:w="100"/>
            </w:tcMar>
          </w:tcPr>
          <w:p>
            <w:pPr>
              <w:spacing w:after="100"/>
            </w:pPr>
            <w:r>
              <w:rPr>
                <w:rFonts w:ascii="Calibri" w:cs="Calibri" w:eastAsia="Calibri" w:hAnsi="Calibri"/>
                <w:b/>
                <w:bCs/>
                <w:color w:val="000000"/>
                <w:sz w:val="20"/>
                <w:szCs w:val="20"/>
              </w:rPr>
              <w:t xml:space="preserve">PAN</w:t>
            </w:r>
          </w:p>
        </w:tc>
        <w:tc>
          <w:tcPr>
            <w:tcW w:type="dxa" w:w="6840"/>
            <w:tcMar>
              <w:top w:type="dxa" w:w="60"/>
              <w:left w:type="dxa" w:w="100"/>
              <w:bottom w:type="dxa" w:w="60"/>
              <w:right w:type="dxa" w:w="100"/>
            </w:tcMar>
          </w:tcPr>
          <w:p>
            <w:pPr>
              <w:spacing w:after="100"/>
            </w:pPr>
            <w:r>
              <w:rPr>
                <w:rFonts w:ascii="Calibri" w:cs="Calibri" w:eastAsia="Calibri" w:hAnsi="Calibri"/>
                <w:color w:val="000000"/>
                <w:sz w:val="20"/>
                <w:szCs w:val="20"/>
              </w:rPr>
              <w:t xml:space="preserve">AAECV4821K</w:t>
            </w:r>
          </w:p>
        </w:tc>
      </w:tr>
      <w:tr>
        <w:tc>
          <w:tcPr>
            <w:tcW w:type="dxa" w:w="3600"/>
            <w:shd w:fill="F2F4F8" w:val="clear"/>
            <w:tcMar>
              <w:top w:type="dxa" w:w="60"/>
              <w:left w:type="dxa" w:w="100"/>
              <w:bottom w:type="dxa" w:w="60"/>
              <w:right w:type="dxa" w:w="100"/>
            </w:tcMar>
          </w:tcPr>
          <w:p>
            <w:pPr>
              <w:spacing w:after="100"/>
            </w:pPr>
            <w:r>
              <w:rPr>
                <w:rFonts w:ascii="Calibri" w:cs="Calibri" w:eastAsia="Calibri" w:hAnsi="Calibri"/>
                <w:b/>
                <w:bCs/>
                <w:color w:val="000000"/>
                <w:sz w:val="20"/>
                <w:szCs w:val="20"/>
              </w:rPr>
              <w:t xml:space="preserve">Date of incorporation</w:t>
            </w:r>
          </w:p>
        </w:tc>
        <w:tc>
          <w:tcPr>
            <w:tcW w:type="dxa" w:w="6840"/>
            <w:tcMar>
              <w:top w:type="dxa" w:w="60"/>
              <w:left w:type="dxa" w:w="100"/>
              <w:bottom w:type="dxa" w:w="60"/>
              <w:right w:type="dxa" w:w="100"/>
            </w:tcMar>
          </w:tcPr>
          <w:p>
            <w:pPr>
              <w:spacing w:after="100"/>
            </w:pPr>
            <w:r>
              <w:rPr>
                <w:rFonts w:ascii="Calibri" w:cs="Calibri" w:eastAsia="Calibri" w:hAnsi="Calibri"/>
                <w:color w:val="000000"/>
                <w:sz w:val="20"/>
                <w:szCs w:val="20"/>
              </w:rPr>
              <w:t xml:space="preserve">14 August 2009</w:t>
            </w:r>
          </w:p>
        </w:tc>
      </w:tr>
      <w:tr>
        <w:tc>
          <w:tcPr>
            <w:tcW w:type="dxa" w:w="3600"/>
            <w:shd w:fill="F2F4F8" w:val="clear"/>
            <w:tcMar>
              <w:top w:type="dxa" w:w="60"/>
              <w:left w:type="dxa" w:w="100"/>
              <w:bottom w:type="dxa" w:w="60"/>
              <w:right w:type="dxa" w:w="100"/>
            </w:tcMar>
          </w:tcPr>
          <w:p>
            <w:pPr>
              <w:spacing w:after="100"/>
            </w:pPr>
            <w:r>
              <w:rPr>
                <w:rFonts w:ascii="Calibri" w:cs="Calibri" w:eastAsia="Calibri" w:hAnsi="Calibri"/>
                <w:b/>
                <w:bCs/>
                <w:color w:val="000000"/>
                <w:sz w:val="20"/>
                <w:szCs w:val="20"/>
              </w:rPr>
              <w:t xml:space="preserve">Registrar of Companies</w:t>
            </w:r>
          </w:p>
        </w:tc>
        <w:tc>
          <w:tcPr>
            <w:tcW w:type="dxa" w:w="6840"/>
            <w:tcMar>
              <w:top w:type="dxa" w:w="60"/>
              <w:left w:type="dxa" w:w="100"/>
              <w:bottom w:type="dxa" w:w="60"/>
              <w:right w:type="dxa" w:w="100"/>
            </w:tcMar>
          </w:tcPr>
          <w:p>
            <w:pPr>
              <w:spacing w:after="100"/>
            </w:pPr>
            <w:r>
              <w:rPr>
                <w:rFonts w:ascii="Calibri" w:cs="Calibri" w:eastAsia="Calibri" w:hAnsi="Calibri"/>
                <w:color w:val="000000"/>
                <w:sz w:val="20"/>
                <w:szCs w:val="20"/>
              </w:rPr>
              <w:t xml:space="preserve">ROC Mumbai, Maharashtra</w:t>
            </w:r>
          </w:p>
        </w:tc>
      </w:tr>
      <w:tr>
        <w:tc>
          <w:tcPr>
            <w:tcW w:type="dxa" w:w="3600"/>
            <w:shd w:fill="F2F4F8" w:val="clear"/>
            <w:tcMar>
              <w:top w:type="dxa" w:w="60"/>
              <w:left w:type="dxa" w:w="100"/>
              <w:bottom w:type="dxa" w:w="60"/>
              <w:right w:type="dxa" w:w="100"/>
            </w:tcMar>
          </w:tcPr>
          <w:p>
            <w:pPr>
              <w:spacing w:after="100"/>
            </w:pPr>
            <w:r>
              <w:rPr>
                <w:rFonts w:ascii="Calibri" w:cs="Calibri" w:eastAsia="Calibri" w:hAnsi="Calibri"/>
                <w:b/>
                <w:bCs/>
                <w:color w:val="000000"/>
                <w:sz w:val="20"/>
                <w:szCs w:val="20"/>
              </w:rPr>
              <w:t xml:space="preserve">Category</w:t>
            </w:r>
          </w:p>
        </w:tc>
        <w:tc>
          <w:tcPr>
            <w:tcW w:type="dxa" w:w="6840"/>
            <w:tcMar>
              <w:top w:type="dxa" w:w="60"/>
              <w:left w:type="dxa" w:w="100"/>
              <w:bottom w:type="dxa" w:w="60"/>
              <w:right w:type="dxa" w:w="100"/>
            </w:tcMar>
          </w:tcPr>
          <w:p>
            <w:pPr>
              <w:spacing w:after="100"/>
            </w:pPr>
            <w:r>
              <w:rPr>
                <w:rFonts w:ascii="Calibri" w:cs="Calibri" w:eastAsia="Calibri" w:hAnsi="Calibri"/>
                <w:color w:val="000000"/>
                <w:sz w:val="20"/>
                <w:szCs w:val="20"/>
              </w:rPr>
              <w:t xml:space="preserve">Private company limited by shares; non-government company</w:t>
            </w:r>
          </w:p>
        </w:tc>
      </w:tr>
      <w:tr>
        <w:tc>
          <w:tcPr>
            <w:tcW w:type="dxa" w:w="3600"/>
            <w:shd w:fill="F2F4F8" w:val="clear"/>
            <w:tcMar>
              <w:top w:type="dxa" w:w="60"/>
              <w:left w:type="dxa" w:w="100"/>
              <w:bottom w:type="dxa" w:w="60"/>
              <w:right w:type="dxa" w:w="100"/>
            </w:tcMar>
          </w:tcPr>
          <w:p>
            <w:pPr>
              <w:spacing w:after="100"/>
            </w:pPr>
            <w:r>
              <w:rPr>
                <w:rFonts w:ascii="Calibri" w:cs="Calibri" w:eastAsia="Calibri" w:hAnsi="Calibri"/>
                <w:b/>
                <w:bCs/>
                <w:color w:val="000000"/>
                <w:sz w:val="20"/>
                <w:szCs w:val="20"/>
              </w:rPr>
              <w:t xml:space="preserve">Registered and factory office</w:t>
            </w:r>
          </w:p>
        </w:tc>
        <w:tc>
          <w:tcPr>
            <w:tcW w:type="dxa" w:w="6840"/>
            <w:tcMar>
              <w:top w:type="dxa" w:w="60"/>
              <w:left w:type="dxa" w:w="100"/>
              <w:bottom w:type="dxa" w:w="60"/>
              <w:right w:type="dxa" w:w="100"/>
            </w:tcMar>
          </w:tcPr>
          <w:p>
            <w:pPr>
              <w:spacing w:after="100"/>
            </w:pPr>
            <w:r>
              <w:rPr>
                <w:rFonts w:ascii="Calibri" w:cs="Calibri" w:eastAsia="Calibri" w:hAnsi="Calibri"/>
                <w:color w:val="000000"/>
                <w:sz w:val="20"/>
                <w:szCs w:val="20"/>
              </w:rPr>
              <w:t xml:space="preserve">Plot No. 47, Anjur Phata Industrial Area, Bhiwandi, Thane 421302, Maharashtra</w:t>
            </w:r>
          </w:p>
        </w:tc>
      </w:tr>
      <w:tr>
        <w:tc>
          <w:tcPr>
            <w:tcW w:type="dxa" w:w="3600"/>
            <w:shd w:fill="F2F4F8" w:val="clear"/>
            <w:tcMar>
              <w:top w:type="dxa" w:w="60"/>
              <w:left w:type="dxa" w:w="100"/>
              <w:bottom w:type="dxa" w:w="60"/>
              <w:right w:type="dxa" w:w="100"/>
            </w:tcMar>
          </w:tcPr>
          <w:p>
            <w:pPr>
              <w:spacing w:after="100"/>
            </w:pPr>
            <w:r>
              <w:rPr>
                <w:rFonts w:ascii="Calibri" w:cs="Calibri" w:eastAsia="Calibri" w:hAnsi="Calibri"/>
                <w:b/>
                <w:bCs/>
                <w:color w:val="000000"/>
                <w:sz w:val="20"/>
                <w:szCs w:val="20"/>
              </w:rPr>
              <w:t xml:space="preserve">Website</w:t>
            </w:r>
          </w:p>
        </w:tc>
        <w:tc>
          <w:tcPr>
            <w:tcW w:type="dxa" w:w="6840"/>
            <w:tcMar>
              <w:top w:type="dxa" w:w="60"/>
              <w:left w:type="dxa" w:w="100"/>
              <w:bottom w:type="dxa" w:w="60"/>
              <w:right w:type="dxa" w:w="100"/>
            </w:tcMar>
          </w:tcPr>
          <w:p>
            <w:pPr>
              <w:spacing w:after="100"/>
            </w:pPr>
            <w:r>
              <w:rPr>
                <w:rFonts w:ascii="Calibri" w:cs="Calibri" w:eastAsia="Calibri" w:hAnsi="Calibri"/>
                <w:color w:val="000000"/>
                <w:sz w:val="20"/>
                <w:szCs w:val="20"/>
              </w:rPr>
              <w:t xml:space="preserve">www.vanrajfurniture.in (imaginary)</w:t>
            </w:r>
          </w:p>
        </w:tc>
      </w:tr>
      <w:tr>
        <w:tc>
          <w:tcPr>
            <w:tcW w:type="dxa" w:w="3600"/>
            <w:shd w:fill="F2F4F8" w:val="clear"/>
            <w:tcMar>
              <w:top w:type="dxa" w:w="60"/>
              <w:left w:type="dxa" w:w="100"/>
              <w:bottom w:type="dxa" w:w="60"/>
              <w:right w:type="dxa" w:w="100"/>
            </w:tcMar>
          </w:tcPr>
          <w:p>
            <w:pPr>
              <w:spacing w:after="100"/>
            </w:pPr>
            <w:r>
              <w:rPr>
                <w:rFonts w:ascii="Calibri" w:cs="Calibri" w:eastAsia="Calibri" w:hAnsi="Calibri"/>
                <w:b/>
                <w:bCs/>
                <w:color w:val="000000"/>
                <w:sz w:val="20"/>
                <w:szCs w:val="20"/>
              </w:rPr>
              <w:t xml:space="preserve">Statutory auditors</w:t>
            </w:r>
          </w:p>
        </w:tc>
        <w:tc>
          <w:tcPr>
            <w:tcW w:type="dxa" w:w="6840"/>
            <w:tcMar>
              <w:top w:type="dxa" w:w="60"/>
              <w:left w:type="dxa" w:w="100"/>
              <w:bottom w:type="dxa" w:w="60"/>
              <w:right w:type="dxa" w:w="100"/>
            </w:tcMar>
          </w:tcPr>
          <w:p>
            <w:pPr>
              <w:spacing w:after="100"/>
            </w:pPr>
            <w:r>
              <w:rPr>
                <w:rFonts w:ascii="Calibri" w:cs="Calibri" w:eastAsia="Calibri" w:hAnsi="Calibri"/>
                <w:color w:val="000000"/>
                <w:sz w:val="20"/>
                <w:szCs w:val="20"/>
              </w:rPr>
              <w:t xml:space="preserve">Mehta Sanghvi &amp; Co., Chartered Accountants, Mumbai (FRN 108541W)</w:t>
            </w:r>
          </w:p>
        </w:tc>
      </w:tr>
      <w:tr>
        <w:tc>
          <w:tcPr>
            <w:tcW w:type="dxa" w:w="3600"/>
            <w:shd w:fill="F2F4F8" w:val="clear"/>
            <w:tcMar>
              <w:top w:type="dxa" w:w="60"/>
              <w:left w:type="dxa" w:w="100"/>
              <w:bottom w:type="dxa" w:w="60"/>
              <w:right w:type="dxa" w:w="100"/>
            </w:tcMar>
          </w:tcPr>
          <w:p>
            <w:pPr>
              <w:spacing w:after="100"/>
            </w:pPr>
            <w:r>
              <w:rPr>
                <w:rFonts w:ascii="Calibri" w:cs="Calibri" w:eastAsia="Calibri" w:hAnsi="Calibri"/>
                <w:b/>
                <w:bCs/>
                <w:color w:val="000000"/>
                <w:sz w:val="20"/>
                <w:szCs w:val="20"/>
              </w:rPr>
              <w:t xml:space="preserve">Bankers</w:t>
            </w:r>
          </w:p>
        </w:tc>
        <w:tc>
          <w:tcPr>
            <w:tcW w:type="dxa" w:w="6840"/>
            <w:tcMar>
              <w:top w:type="dxa" w:w="60"/>
              <w:left w:type="dxa" w:w="100"/>
              <w:bottom w:type="dxa" w:w="60"/>
              <w:right w:type="dxa" w:w="100"/>
            </w:tcMar>
          </w:tcPr>
          <w:p>
            <w:pPr>
              <w:spacing w:after="100"/>
            </w:pPr>
            <w:r>
              <w:rPr>
                <w:rFonts w:ascii="Calibri" w:cs="Calibri" w:eastAsia="Calibri" w:hAnsi="Calibri"/>
                <w:color w:val="000000"/>
                <w:sz w:val="20"/>
                <w:szCs w:val="20"/>
              </w:rPr>
              <w:t xml:space="preserve">State Bank of India (Bhiwandi Industrial Branch); HDFC Bank (Thane)</w:t>
            </w:r>
          </w:p>
        </w:tc>
      </w:tr>
      <w:tr>
        <w:tc>
          <w:tcPr>
            <w:tcW w:type="dxa" w:w="3600"/>
            <w:shd w:fill="F2F4F8" w:val="clear"/>
            <w:tcMar>
              <w:top w:type="dxa" w:w="60"/>
              <w:left w:type="dxa" w:w="100"/>
              <w:bottom w:type="dxa" w:w="60"/>
              <w:right w:type="dxa" w:w="100"/>
            </w:tcMar>
          </w:tcPr>
          <w:p>
            <w:pPr>
              <w:spacing w:after="100"/>
            </w:pPr>
            <w:r>
              <w:rPr>
                <w:rFonts w:ascii="Calibri" w:cs="Calibri" w:eastAsia="Calibri" w:hAnsi="Calibri"/>
                <w:b/>
                <w:bCs/>
                <w:color w:val="000000"/>
                <w:sz w:val="20"/>
                <w:szCs w:val="20"/>
              </w:rPr>
              <w:t xml:space="preserve">Company Secretary</w:t>
            </w:r>
          </w:p>
        </w:tc>
        <w:tc>
          <w:tcPr>
            <w:tcW w:type="dxa" w:w="6840"/>
            <w:tcMar>
              <w:top w:type="dxa" w:w="60"/>
              <w:left w:type="dxa" w:w="100"/>
              <w:bottom w:type="dxa" w:w="60"/>
              <w:right w:type="dxa" w:w="100"/>
            </w:tcMar>
          </w:tcPr>
          <w:p>
            <w:pPr>
              <w:spacing w:after="100"/>
            </w:pPr>
            <w:r>
              <w:rPr>
                <w:rFonts w:ascii="Calibri" w:cs="Calibri" w:eastAsia="Calibri" w:hAnsi="Calibri"/>
                <w:color w:val="000000"/>
                <w:sz w:val="20"/>
                <w:szCs w:val="20"/>
              </w:rPr>
              <w:t xml:space="preserve">Priya Nair (ACS 41207)</w:t>
            </w:r>
          </w:p>
        </w:tc>
      </w:tr>
      <w:tr>
        <w:tc>
          <w:tcPr>
            <w:tcW w:type="dxa" w:w="3600"/>
            <w:shd w:fill="F2F4F8" w:val="clear"/>
            <w:tcMar>
              <w:top w:type="dxa" w:w="60"/>
              <w:left w:type="dxa" w:w="100"/>
              <w:bottom w:type="dxa" w:w="60"/>
              <w:right w:type="dxa" w:w="100"/>
            </w:tcMar>
          </w:tcPr>
          <w:p>
            <w:pPr>
              <w:spacing w:after="100"/>
            </w:pPr>
            <w:r>
              <w:rPr>
                <w:rFonts w:ascii="Calibri" w:cs="Calibri" w:eastAsia="Calibri" w:hAnsi="Calibri"/>
                <w:b/>
                <w:bCs/>
                <w:color w:val="000000"/>
                <w:sz w:val="20"/>
                <w:szCs w:val="20"/>
              </w:rPr>
              <w:t xml:space="preserve">Chief Financial Officer</w:t>
            </w:r>
          </w:p>
        </w:tc>
        <w:tc>
          <w:tcPr>
            <w:tcW w:type="dxa" w:w="6840"/>
            <w:tcMar>
              <w:top w:type="dxa" w:w="60"/>
              <w:left w:type="dxa" w:w="100"/>
              <w:bottom w:type="dxa" w:w="60"/>
              <w:right w:type="dxa" w:w="100"/>
            </w:tcMar>
          </w:tcPr>
          <w:p>
            <w:pPr>
              <w:spacing w:after="100"/>
            </w:pPr>
            <w:r>
              <w:rPr>
                <w:rFonts w:ascii="Calibri" w:cs="Calibri" w:eastAsia="Calibri" w:hAnsi="Calibri"/>
                <w:color w:val="000000"/>
                <w:sz w:val="20"/>
                <w:szCs w:val="20"/>
              </w:rPr>
              <w:t xml:space="preserve">Nikhil Rathi</w:t>
            </w:r>
          </w:p>
        </w:tc>
      </w:tr>
    </w:tbl>
    <w:p>
      <w:pPr>
        <w:spacing w:after="60"/>
      </w:pPr>
    </w:p>
    <w:p>
      <w:pPr>
        <w:pStyle w:val="Heading1"/>
        <w:pBdr>
          <w:bottom w:val="single" w:color="1F3864" w:sz="6"/>
        </w:pBdr>
        <w:spacing w:after="100" w:before="280"/>
        <w:rPr>
          <w:rFonts w:ascii="Calibri" w:cs="Calibri" w:eastAsia="Calibri" w:hAnsi="Calibri"/>
          <w:b/>
          <w:bCs/>
          <w:color w:val="1F3864"/>
          <w:sz w:val="24"/>
          <w:szCs w:val="24"/>
        </w:rPr>
      </w:pPr>
      <w:r>
        <w:t xml:space="preserve">2.  Business Description</w:t>
      </w:r>
    </w:p>
    <w:p>
      <w:pPr>
        <w:spacing w:after="100"/>
      </w:pPr>
      <w:r>
        <w:rPr>
          <w:rFonts w:ascii="Calibri" w:cs="Calibri" w:eastAsia="Calibri" w:hAnsi="Calibri"/>
          <w:color w:val="000000"/>
          <w:sz w:val="20"/>
          <w:szCs w:val="20"/>
        </w:rPr>
        <w:t xml:space="preserve">Vanraj Furniture Industries Private Limited is a Bhiwandi-based manufacturer and retailer of home, office and institutional furniture. The company operates a 1,85,000 sq. ft. factory on Plot No. 47 at Anjur Phata Industrial Area, Bhiwandi, from which it produces solid wood, engineered wood and upholstered furniture under two brands:</w:t>
      </w:r>
    </w:p>
    <w:p>
      <w:pPr>
        <w:spacing w:after="60"/>
      </w:pPr>
    </w:p>
    <w:p>
      <w:pPr>
        <w:pStyle w:val="ListParagraph"/>
        <w:numPr>
          <w:ilvl w:val="0"/>
          <w:numId w:val="1"/>
        </w:numPr>
        <w:spacing w:after="60"/>
      </w:pPr>
      <w:r>
        <w:rPr>
          <w:rFonts w:ascii="Calibri" w:cs="Calibri" w:eastAsia="Calibri" w:hAnsi="Calibri"/>
          <w:sz w:val="20"/>
          <w:szCs w:val="20"/>
        </w:rPr>
        <w:t xml:space="preserve">Vanraj Living: home furniture comprising sofas and seating systems, beds, wardrobes and bedroom sets, and dining tables and chairs.</w:t>
      </w:r>
    </w:p>
    <w:p>
      <w:pPr>
        <w:pStyle w:val="ListParagraph"/>
        <w:numPr>
          <w:ilvl w:val="0"/>
          <w:numId w:val="1"/>
        </w:numPr>
        <w:spacing w:after="60"/>
      </w:pPr>
      <w:r>
        <w:rPr>
          <w:rFonts w:ascii="Calibri" w:cs="Calibri" w:eastAsia="Calibri" w:hAnsi="Calibri"/>
          <w:sz w:val="20"/>
          <w:szCs w:val="20"/>
        </w:rPr>
        <w:t xml:space="preserve">Vanraj Workspace: office desks, chairs, storage and partitioning systems, and institutional furniture for schools, hotels and hospitals.</w:t>
      </w:r>
    </w:p>
    <w:p>
      <w:pPr>
        <w:spacing w:after="60"/>
      </w:pPr>
    </w:p>
    <w:p>
      <w:pPr>
        <w:spacing w:after="100"/>
      </w:pPr>
      <w:r>
        <w:rPr>
          <w:rFonts w:ascii="Calibri" w:cs="Calibri" w:eastAsia="Calibri" w:hAnsi="Calibri"/>
          <w:color w:val="000000"/>
          <w:sz w:val="20"/>
          <w:szCs w:val="20"/>
        </w:rPr>
        <w:t xml:space="preserve">Products are sold through five company-owned showrooms (Andheri Mumbai, Vashi Navi Mumbai, Baner Pune, SG Highway Ahmedabad, Whitefield Bengaluru), through a pan-India dealer network, e-commerce marketplaces and direct contract or project supplies. Export sales (primarily to UAE and Sri Lanka) account for approximately 6% of revenue.</w:t>
      </w:r>
    </w:p>
    <w:p>
      <w:pPr>
        <w:spacing w:after="60"/>
      </w:pPr>
    </w:p>
    <w:p>
      <w:pPr>
        <w:spacing w:after="100"/>
      </w:pPr>
      <w:r>
        <w:rPr>
          <w:rFonts w:ascii="Calibri" w:cs="Calibri" w:eastAsia="Calibri" w:hAnsi="Calibri"/>
          <w:color w:val="000000"/>
          <w:sz w:val="20"/>
          <w:szCs w:val="20"/>
        </w:rPr>
        <w:t xml:space="preserve">A second factory unit is under construction on the adjacent Plot No. 48 (capital work-in-progress of Rs. 260 Lakhs at 31 March 2026), commissioned in June 2026, which will add approximately 80,000 sq. ft. of production area and is expected to support the growth projected through FY 2030-31.</w:t>
      </w:r>
    </w:p>
    <w:p>
      <w:pPr>
        <w:spacing w:after="60"/>
      </w:pPr>
    </w:p>
    <w:p>
      <w:pPr>
        <w:pStyle w:val="Heading1"/>
        <w:pBdr>
          <w:bottom w:val="single" w:color="1F3864" w:sz="6"/>
        </w:pBdr>
        <w:spacing w:after="100" w:before="280"/>
        <w:rPr>
          <w:rFonts w:ascii="Calibri" w:cs="Calibri" w:eastAsia="Calibri" w:hAnsi="Calibri"/>
          <w:b/>
          <w:bCs/>
          <w:color w:val="1F3864"/>
          <w:sz w:val="24"/>
          <w:szCs w:val="24"/>
        </w:rPr>
      </w:pPr>
      <w:r>
        <w:t xml:space="preserve">3.  History and Milestones</w:t>
      </w:r>
    </w:p>
    <w:p>
      <w:pPr>
        <w:spacing w:after="60"/>
      </w:pPr>
    </w:p>
    <w:tbl>
      <w:tblPr>
        <w:tblW w:type="dxa" w:w="10440"/>
        <w:tblBorders>
          <w:top w:val="single" w:color="CCCCCC" w:sz="4"/>
          <w:left w:val="single" w:color="CCCCCC" w:sz="4"/>
          <w:bottom w:val="single" w:color="CCCCCC" w:sz="4"/>
          <w:right w:val="single" w:color="CCCCCC" w:sz="4"/>
          <w:insideH w:val="single" w:color="auto" w:sz="4"/>
          <w:insideV w:val="single" w:color="auto" w:sz="4"/>
        </w:tblBorders>
      </w:tblPr>
      <w:tblGrid>
        <w:gridCol w:w="3600"/>
        <w:gridCol w:w="6840"/>
      </w:tblGrid>
      <w:tr>
        <w:tc>
          <w:tcPr>
            <w:tcW w:type="dxa" w:w="3600"/>
            <w:shd w:fill="F2F4F8" w:val="clear"/>
            <w:tcMar>
              <w:top w:type="dxa" w:w="60"/>
              <w:left w:type="dxa" w:w="100"/>
              <w:bottom w:type="dxa" w:w="60"/>
              <w:right w:type="dxa" w:w="100"/>
            </w:tcMar>
          </w:tcPr>
          <w:p>
            <w:pPr>
              <w:spacing w:after="100"/>
            </w:pPr>
            <w:r>
              <w:rPr>
                <w:rFonts w:ascii="Calibri" w:cs="Calibri" w:eastAsia="Calibri" w:hAnsi="Calibri"/>
                <w:b/>
                <w:bCs/>
                <w:color w:val="000000"/>
                <w:sz w:val="20"/>
                <w:szCs w:val="20"/>
              </w:rPr>
              <w:t xml:space="preserve">2009</w:t>
            </w:r>
          </w:p>
        </w:tc>
        <w:tc>
          <w:tcPr>
            <w:tcW w:type="dxa" w:w="6840"/>
            <w:tcMar>
              <w:top w:type="dxa" w:w="60"/>
              <w:left w:type="dxa" w:w="100"/>
              <w:bottom w:type="dxa" w:w="60"/>
              <w:right w:type="dxa" w:w="100"/>
            </w:tcMar>
          </w:tcPr>
          <w:p>
            <w:pPr>
              <w:spacing w:after="100"/>
            </w:pPr>
            <w:r>
              <w:rPr>
                <w:rFonts w:ascii="Calibri" w:cs="Calibri" w:eastAsia="Calibri" w:hAnsi="Calibri"/>
                <w:color w:val="000000"/>
                <w:sz w:val="20"/>
                <w:szCs w:val="20"/>
              </w:rPr>
              <w:t xml:space="preserve">Incorporated by Vikram and Sunita Malhotra; commenced manufacturing at Bhiwandi with 25,000 sq. ft. leased space.</w:t>
            </w:r>
          </w:p>
        </w:tc>
      </w:tr>
      <w:tr>
        <w:tc>
          <w:tcPr>
            <w:tcW w:type="dxa" w:w="3600"/>
            <w:shd w:fill="F2F4F8" w:val="clear"/>
            <w:tcMar>
              <w:top w:type="dxa" w:w="60"/>
              <w:left w:type="dxa" w:w="100"/>
              <w:bottom w:type="dxa" w:w="60"/>
              <w:right w:type="dxa" w:w="100"/>
            </w:tcMar>
          </w:tcPr>
          <w:p>
            <w:pPr>
              <w:spacing w:after="100"/>
            </w:pPr>
            <w:r>
              <w:rPr>
                <w:rFonts w:ascii="Calibri" w:cs="Calibri" w:eastAsia="Calibri" w:hAnsi="Calibri"/>
                <w:b/>
                <w:bCs/>
                <w:color w:val="000000"/>
                <w:sz w:val="20"/>
                <w:szCs w:val="20"/>
              </w:rPr>
              <w:t xml:space="preserve">2011</w:t>
            </w:r>
          </w:p>
        </w:tc>
        <w:tc>
          <w:tcPr>
            <w:tcW w:type="dxa" w:w="6840"/>
            <w:tcMar>
              <w:top w:type="dxa" w:w="60"/>
              <w:left w:type="dxa" w:w="100"/>
              <w:bottom w:type="dxa" w:w="60"/>
              <w:right w:type="dxa" w:w="100"/>
            </w:tcMar>
          </w:tcPr>
          <w:p>
            <w:pPr>
              <w:spacing w:after="100"/>
            </w:pPr>
            <w:r>
              <w:rPr>
                <w:rFonts w:ascii="Calibri" w:cs="Calibri" w:eastAsia="Calibri" w:hAnsi="Calibri"/>
                <w:color w:val="000000"/>
                <w:sz w:val="20"/>
                <w:szCs w:val="20"/>
              </w:rPr>
              <w:t xml:space="preserve">Rights issue to promoters; capacity expansion to 60,000 sq. ft. (own factory).</w:t>
            </w:r>
          </w:p>
        </w:tc>
      </w:tr>
      <w:tr>
        <w:tc>
          <w:tcPr>
            <w:tcW w:type="dxa" w:w="3600"/>
            <w:shd w:fill="F2F4F8" w:val="clear"/>
            <w:tcMar>
              <w:top w:type="dxa" w:w="60"/>
              <w:left w:type="dxa" w:w="100"/>
              <w:bottom w:type="dxa" w:w="60"/>
              <w:right w:type="dxa" w:w="100"/>
            </w:tcMar>
          </w:tcPr>
          <w:p>
            <w:pPr>
              <w:spacing w:after="100"/>
            </w:pPr>
            <w:r>
              <w:rPr>
                <w:rFonts w:ascii="Calibri" w:cs="Calibri" w:eastAsia="Calibri" w:hAnsi="Calibri"/>
                <w:b/>
                <w:bCs/>
                <w:color w:val="000000"/>
                <w:sz w:val="20"/>
                <w:szCs w:val="20"/>
              </w:rPr>
              <w:t xml:space="preserve">2014</w:t>
            </w:r>
          </w:p>
        </w:tc>
        <w:tc>
          <w:tcPr>
            <w:tcW w:type="dxa" w:w="6840"/>
            <w:tcMar>
              <w:top w:type="dxa" w:w="60"/>
              <w:left w:type="dxa" w:w="100"/>
              <w:bottom w:type="dxa" w:w="60"/>
              <w:right w:type="dxa" w:w="100"/>
            </w:tcMar>
          </w:tcPr>
          <w:p>
            <w:pPr>
              <w:spacing w:after="100"/>
            </w:pPr>
            <w:r>
              <w:rPr>
                <w:rFonts w:ascii="Calibri" w:cs="Calibri" w:eastAsia="Calibri" w:hAnsi="Calibri"/>
                <w:color w:val="000000"/>
                <w:sz w:val="20"/>
                <w:szCs w:val="20"/>
              </w:rPr>
              <w:t xml:space="preserve">First bonus issue (1:1); revenue crossed Rs. 1,000 Lakhs for the first time.</w:t>
            </w:r>
          </w:p>
        </w:tc>
      </w:tr>
      <w:tr>
        <w:tc>
          <w:tcPr>
            <w:tcW w:type="dxa" w:w="3600"/>
            <w:shd w:fill="F2F4F8" w:val="clear"/>
            <w:tcMar>
              <w:top w:type="dxa" w:w="60"/>
              <w:left w:type="dxa" w:w="100"/>
              <w:bottom w:type="dxa" w:w="60"/>
              <w:right w:type="dxa" w:w="100"/>
            </w:tcMar>
          </w:tcPr>
          <w:p>
            <w:pPr>
              <w:spacing w:after="100"/>
            </w:pPr>
            <w:r>
              <w:rPr>
                <w:rFonts w:ascii="Calibri" w:cs="Calibri" w:eastAsia="Calibri" w:hAnsi="Calibri"/>
                <w:b/>
                <w:bCs/>
                <w:color w:val="000000"/>
                <w:sz w:val="20"/>
                <w:szCs w:val="20"/>
              </w:rPr>
              <w:t xml:space="preserve">2016</w:t>
            </w:r>
          </w:p>
        </w:tc>
        <w:tc>
          <w:tcPr>
            <w:tcW w:type="dxa" w:w="6840"/>
            <w:tcMar>
              <w:top w:type="dxa" w:w="60"/>
              <w:left w:type="dxa" w:w="100"/>
              <w:bottom w:type="dxa" w:w="60"/>
              <w:right w:type="dxa" w:w="100"/>
            </w:tcMar>
          </w:tcPr>
          <w:p>
            <w:pPr>
              <w:spacing w:after="100"/>
            </w:pPr>
            <w:r>
              <w:rPr>
                <w:rFonts w:ascii="Calibri" w:cs="Calibri" w:eastAsia="Calibri" w:hAnsi="Calibri"/>
                <w:color w:val="000000"/>
                <w:sz w:val="20"/>
                <w:szCs w:val="20"/>
              </w:rPr>
              <w:t xml:space="preserve">Launched Vanraj Living brand; opened first showroom in Andheri, Mumbai.</w:t>
            </w:r>
          </w:p>
        </w:tc>
      </w:tr>
      <w:tr>
        <w:tc>
          <w:tcPr>
            <w:tcW w:type="dxa" w:w="3600"/>
            <w:shd w:fill="F2F4F8" w:val="clear"/>
            <w:tcMar>
              <w:top w:type="dxa" w:w="60"/>
              <w:left w:type="dxa" w:w="100"/>
              <w:bottom w:type="dxa" w:w="60"/>
              <w:right w:type="dxa" w:w="100"/>
            </w:tcMar>
          </w:tcPr>
          <w:p>
            <w:pPr>
              <w:spacing w:after="100"/>
            </w:pPr>
            <w:r>
              <w:rPr>
                <w:rFonts w:ascii="Calibri" w:cs="Calibri" w:eastAsia="Calibri" w:hAnsi="Calibri"/>
                <w:b/>
                <w:bCs/>
                <w:color w:val="000000"/>
                <w:sz w:val="20"/>
                <w:szCs w:val="20"/>
              </w:rPr>
              <w:t xml:space="preserve">2019</w:t>
            </w:r>
          </w:p>
        </w:tc>
        <w:tc>
          <w:tcPr>
            <w:tcW w:type="dxa" w:w="6840"/>
            <w:tcMar>
              <w:top w:type="dxa" w:w="60"/>
              <w:left w:type="dxa" w:w="100"/>
              <w:bottom w:type="dxa" w:w="60"/>
              <w:right w:type="dxa" w:w="100"/>
            </w:tcMar>
          </w:tcPr>
          <w:p>
            <w:pPr>
              <w:spacing w:after="100"/>
            </w:pPr>
            <w:r>
              <w:rPr>
                <w:rFonts w:ascii="Calibri" w:cs="Calibri" w:eastAsia="Calibri" w:hAnsi="Calibri"/>
                <w:color w:val="000000"/>
                <w:sz w:val="20"/>
                <w:szCs w:val="20"/>
              </w:rPr>
              <w:t xml:space="preserve">Second bonus issue; factory expanded to 1,85,000 sq. ft. Revenue crossed Rs. 5,000 Lakhs.</w:t>
            </w:r>
          </w:p>
        </w:tc>
      </w:tr>
      <w:tr>
        <w:tc>
          <w:tcPr>
            <w:tcW w:type="dxa" w:w="3600"/>
            <w:shd w:fill="F2F4F8" w:val="clear"/>
            <w:tcMar>
              <w:top w:type="dxa" w:w="60"/>
              <w:left w:type="dxa" w:w="100"/>
              <w:bottom w:type="dxa" w:w="60"/>
              <w:right w:type="dxa" w:w="100"/>
            </w:tcMar>
          </w:tcPr>
          <w:p>
            <w:pPr>
              <w:spacing w:after="100"/>
            </w:pPr>
            <w:r>
              <w:rPr>
                <w:rFonts w:ascii="Calibri" w:cs="Calibri" w:eastAsia="Calibri" w:hAnsi="Calibri"/>
                <w:b/>
                <w:bCs/>
                <w:color w:val="000000"/>
                <w:sz w:val="20"/>
                <w:szCs w:val="20"/>
              </w:rPr>
              <w:t xml:space="preserve">2022</w:t>
            </w:r>
          </w:p>
        </w:tc>
        <w:tc>
          <w:tcPr>
            <w:tcW w:type="dxa" w:w="6840"/>
            <w:tcMar>
              <w:top w:type="dxa" w:w="60"/>
              <w:left w:type="dxa" w:w="100"/>
              <w:bottom w:type="dxa" w:w="60"/>
              <w:right w:type="dxa" w:w="100"/>
            </w:tcMar>
          </w:tcPr>
          <w:p>
            <w:pPr>
              <w:spacing w:after="100"/>
            </w:pPr>
            <w:r>
              <w:rPr>
                <w:rFonts w:ascii="Calibri" w:cs="Calibri" w:eastAsia="Calibri" w:hAnsi="Calibri"/>
                <w:color w:val="000000"/>
                <w:sz w:val="20"/>
                <w:szCs w:val="20"/>
              </w:rPr>
              <w:t xml:space="preserve">Strategic investment by Orchid Growth Ventures LLP (Rs. 5.70 Crores for 12% equity); ESOP 2022 scheme launched; showrooms in Pune and Bengaluru opened.</w:t>
            </w:r>
          </w:p>
        </w:tc>
      </w:tr>
      <w:tr>
        <w:tc>
          <w:tcPr>
            <w:tcW w:type="dxa" w:w="3600"/>
            <w:shd w:fill="F2F4F8" w:val="clear"/>
            <w:tcMar>
              <w:top w:type="dxa" w:w="60"/>
              <w:left w:type="dxa" w:w="100"/>
              <w:bottom w:type="dxa" w:w="60"/>
              <w:right w:type="dxa" w:w="100"/>
            </w:tcMar>
          </w:tcPr>
          <w:p>
            <w:pPr>
              <w:spacing w:after="100"/>
            </w:pPr>
            <w:r>
              <w:rPr>
                <w:rFonts w:ascii="Calibri" w:cs="Calibri" w:eastAsia="Calibri" w:hAnsi="Calibri"/>
                <w:b/>
                <w:bCs/>
                <w:color w:val="000000"/>
                <w:sz w:val="20"/>
                <w:szCs w:val="20"/>
              </w:rPr>
              <w:t xml:space="preserve">2025</w:t>
            </w:r>
          </w:p>
        </w:tc>
        <w:tc>
          <w:tcPr>
            <w:tcW w:type="dxa" w:w="6840"/>
            <w:tcMar>
              <w:top w:type="dxa" w:w="60"/>
              <w:left w:type="dxa" w:w="100"/>
              <w:bottom w:type="dxa" w:w="60"/>
              <w:right w:type="dxa" w:w="100"/>
            </w:tcMar>
          </w:tcPr>
          <w:p>
            <w:pPr>
              <w:spacing w:after="100"/>
            </w:pPr>
            <w:r>
              <w:rPr>
                <w:rFonts w:ascii="Calibri" w:cs="Calibri" w:eastAsia="Calibri" w:hAnsi="Calibri"/>
                <w:color w:val="000000"/>
                <w:sz w:val="20"/>
                <w:szCs w:val="20"/>
              </w:rPr>
              <w:t xml:space="preserve">Revenue crossed Rs. 100 Crores; CCPS placement to Orchid and Meridian Capital Partners Fund II raising Rs. 6 Crores to fund Plot No. 48 expansion.</w:t>
            </w:r>
          </w:p>
        </w:tc>
      </w:tr>
      <w:tr>
        <w:tc>
          <w:tcPr>
            <w:tcW w:type="dxa" w:w="3600"/>
            <w:shd w:fill="F2F4F8" w:val="clear"/>
            <w:tcMar>
              <w:top w:type="dxa" w:w="60"/>
              <w:left w:type="dxa" w:w="100"/>
              <w:bottom w:type="dxa" w:w="60"/>
              <w:right w:type="dxa" w:w="100"/>
            </w:tcMar>
          </w:tcPr>
          <w:p>
            <w:pPr>
              <w:spacing w:after="100"/>
            </w:pPr>
            <w:r>
              <w:rPr>
                <w:rFonts w:ascii="Calibri" w:cs="Calibri" w:eastAsia="Calibri" w:hAnsi="Calibri"/>
                <w:b/>
                <w:bCs/>
                <w:color w:val="000000"/>
                <w:sz w:val="20"/>
                <w:szCs w:val="20"/>
              </w:rPr>
              <w:t xml:space="preserve">2026 (Jun)</w:t>
            </w:r>
          </w:p>
        </w:tc>
        <w:tc>
          <w:tcPr>
            <w:tcW w:type="dxa" w:w="6840"/>
            <w:tcMar>
              <w:top w:type="dxa" w:w="60"/>
              <w:left w:type="dxa" w:w="100"/>
              <w:bottom w:type="dxa" w:w="60"/>
              <w:right w:type="dxa" w:w="100"/>
            </w:tcMar>
          </w:tcPr>
          <w:p>
            <w:pPr>
              <w:spacing w:after="100"/>
            </w:pPr>
            <w:r>
              <w:rPr>
                <w:rFonts w:ascii="Calibri" w:cs="Calibri" w:eastAsia="Calibri" w:hAnsi="Calibri"/>
                <w:color w:val="000000"/>
                <w:sz w:val="20"/>
                <w:szCs w:val="20"/>
              </w:rPr>
              <w:t xml:space="preserve">Plot No. 48 second factory unit commissioned; valuation date for current assignment.</w:t>
            </w:r>
          </w:p>
        </w:tc>
      </w:tr>
    </w:tbl>
    <w:p>
      <w:pPr>
        <w:spacing w:after="60"/>
      </w:pPr>
    </w:p>
    <w:p>
      <w:pPr>
        <w:pStyle w:val="Heading1"/>
        <w:pBdr>
          <w:bottom w:val="single" w:color="1F3864" w:sz="6"/>
        </w:pBdr>
        <w:spacing w:after="100" w:before="280"/>
        <w:rPr>
          <w:rFonts w:ascii="Calibri" w:cs="Calibri" w:eastAsia="Calibri" w:hAnsi="Calibri"/>
          <w:b/>
          <w:bCs/>
          <w:color w:val="1F3864"/>
          <w:sz w:val="24"/>
          <w:szCs w:val="24"/>
        </w:rPr>
      </w:pPr>
      <w:r>
        <w:t xml:space="preserve">4.  Share Capital and Ownership</w:t>
      </w:r>
    </w:p>
    <w:p>
      <w:pPr>
        <w:spacing w:after="100"/>
      </w:pPr>
      <w:r>
        <w:rPr>
          <w:rFonts w:ascii="Calibri" w:cs="Calibri" w:eastAsia="Calibri" w:hAnsi="Calibri"/>
          <w:color w:val="000000"/>
          <w:sz w:val="20"/>
          <w:szCs w:val="20"/>
        </w:rPr>
        <w:t xml:space="preserve">As at the valuation date (1 June 2026), the paid-up share capital of the company comprises:</w:t>
      </w:r>
    </w:p>
    <w:p>
      <w:pPr>
        <w:spacing w:after="60"/>
      </w:pPr>
    </w:p>
    <w:p>
      <w:pPr>
        <w:pStyle w:val="ListParagraph"/>
        <w:numPr>
          <w:ilvl w:val="0"/>
          <w:numId w:val="1"/>
        </w:numPr>
        <w:spacing w:after="60"/>
      </w:pPr>
      <w:r>
        <w:rPr>
          <w:rFonts w:ascii="Calibri" w:cs="Calibri" w:eastAsia="Calibri" w:hAnsi="Calibri"/>
          <w:sz w:val="20"/>
          <w:szCs w:val="20"/>
        </w:rPr>
        <w:t xml:space="preserve">50,00,000 equity shares of Rs. 10 each, fully paid up (Rs. 500 Lakhs).</w:t>
      </w:r>
    </w:p>
    <w:p>
      <w:pPr>
        <w:pStyle w:val="ListParagraph"/>
        <w:numPr>
          <w:ilvl w:val="0"/>
          <w:numId w:val="1"/>
        </w:numPr>
        <w:spacing w:after="60"/>
      </w:pPr>
      <w:r>
        <w:rPr>
          <w:rFonts w:ascii="Calibri" w:cs="Calibri" w:eastAsia="Calibri" w:hAnsi="Calibri"/>
          <w:sz w:val="20"/>
          <w:szCs w:val="20"/>
        </w:rPr>
        <w:t xml:space="preserve">3,00,000 0.01% Compulsorily Convertible Preference Shares (CCPS) of Rs. 100 each, issued at Rs. 200 per share on 12 November 2025 (Rs. 300 Lakhs face value; Rs. 300 Lakhs securities premium).</w:t>
      </w:r>
    </w:p>
    <w:p>
      <w:pPr>
        <w:spacing w:after="60"/>
      </w:pPr>
    </w:p>
    <w:p>
      <w:pPr>
        <w:spacing w:after="100"/>
      </w:pPr>
      <w:r>
        <w:rPr>
          <w:rFonts w:ascii="Calibri" w:cs="Calibri" w:eastAsia="Calibri" w:hAnsi="Calibri"/>
          <w:color w:val="000000"/>
          <w:sz w:val="20"/>
          <w:szCs w:val="20"/>
        </w:rPr>
        <w:t xml:space="preserve">On a fully diluted basis, the total equity share count is 61,50,000 shares (after conversion of CCPS at 2.5 equity shares per CCPS, exercise of 1,50,000 share warrants issued to a non-executive director, and exercise of 2,50,000 ESOPs outstanding under ESOP 2022).</w:t>
      </w:r>
    </w:p>
    <w:p>
      <w:pPr>
        <w:spacing w:after="60"/>
      </w:pPr>
    </w:p>
    <w:tbl>
      <w:tblPr>
        <w:tblW w:type="dxa" w:w="10440"/>
        <w:tblBorders>
          <w:top w:val="single" w:color="CCCCCC" w:sz="4"/>
          <w:left w:val="single" w:color="CCCCCC" w:sz="4"/>
          <w:bottom w:val="single" w:color="CCCCCC" w:sz="4"/>
          <w:right w:val="single" w:color="CCCCCC" w:sz="4"/>
          <w:insideH w:val="single" w:color="auto" w:sz="4"/>
          <w:insideV w:val="single" w:color="auto" w:sz="4"/>
        </w:tblBorders>
      </w:tblPr>
      <w:tblGrid>
        <w:gridCol w:w="4200"/>
        <w:gridCol w:w="2010"/>
        <w:gridCol w:w="2010"/>
        <w:gridCol w:w="2010"/>
      </w:tblGrid>
      <w:tr>
        <w:tc>
          <w:tcPr>
            <w:tcW w:type="dxa" w:w="2010"/>
            <w:shd w:fill="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Category</w:t>
            </w:r>
          </w:p>
        </w:tc>
        <w:tc>
          <w:tcPr>
            <w:tcW w:type="dxa" w:w="2010"/>
            <w:shd w:fill="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Equity shares</w:t>
            </w:r>
          </w:p>
        </w:tc>
        <w:tc>
          <w:tcPr>
            <w:tcW w:type="dxa" w:w="2010"/>
            <w:shd w:fill="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 (basic)</w:t>
            </w:r>
          </w:p>
        </w:tc>
        <w:tc>
          <w:tcPr>
            <w:tcW w:type="dxa" w:w="2010"/>
            <w:shd w:fill="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 (fully diluted)</w:t>
            </w:r>
          </w:p>
        </w:tc>
      </w:tr>
      <w:tr>
        <w:tc>
          <w:tcPr>
            <w:tcW w:type="dxa" w:w="4200"/>
            <w:shd w:fill="FFFFFF" w:val="clear"/>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Promoter and promoter group</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37,00,000</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74.0%</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60.2%</w:t>
            </w:r>
          </w:p>
        </w:tc>
      </w:tr>
      <w:tr>
        <w:tc>
          <w:tcPr>
            <w:tcW w:type="dxa" w:w="4200"/>
            <w:shd w:fill="FFFFFF" w:val="clear"/>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Financial investors (Orchid and Meridian)</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6,00,000</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12.0%</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21.9%</w:t>
            </w:r>
          </w:p>
        </w:tc>
      </w:tr>
      <w:tr>
        <w:tc>
          <w:tcPr>
            <w:tcW w:type="dxa" w:w="4200"/>
            <w:shd w:fill="FFFFFF" w:val="clear"/>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Directors, employees and others</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7,00,000</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14.0%</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17.9%</w:t>
            </w:r>
          </w:p>
        </w:tc>
      </w:tr>
      <w:tr>
        <w:tc>
          <w:tcPr>
            <w:tcW w:type="dxa" w:w="4200"/>
            <w:shd w:fill="FFFFFF" w:val="clear"/>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Total</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50,00,000</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100.0%</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100.0%</w:t>
            </w:r>
          </w:p>
        </w:tc>
      </w:tr>
    </w:tbl>
    <w:p>
      <w:pPr>
        <w:spacing w:after="60"/>
      </w:pPr>
    </w:p>
    <w:p>
      <w:pPr>
        <w:pStyle w:val="Heading1"/>
        <w:pBdr>
          <w:bottom w:val="single" w:color="1F3864" w:sz="6"/>
        </w:pBdr>
        <w:spacing w:after="100" w:before="280"/>
        <w:rPr>
          <w:rFonts w:ascii="Calibri" w:cs="Calibri" w:eastAsia="Calibri" w:hAnsi="Calibri"/>
          <w:b/>
          <w:bCs/>
          <w:color w:val="1F3864"/>
          <w:sz w:val="24"/>
          <w:szCs w:val="24"/>
        </w:rPr>
      </w:pPr>
      <w:r>
        <w:t xml:space="preserve">5.  Board of Directors and Key Management</w:t>
      </w:r>
    </w:p>
    <w:p>
      <w:pPr>
        <w:spacing w:after="60"/>
      </w:pPr>
    </w:p>
    <w:tbl>
      <w:tblPr>
        <w:tblW w:type="dxa" w:w="10440"/>
        <w:tblBorders>
          <w:top w:val="single" w:color="CCCCCC" w:sz="4"/>
          <w:left w:val="single" w:color="CCCCCC" w:sz="4"/>
          <w:bottom w:val="single" w:color="CCCCCC" w:sz="4"/>
          <w:right w:val="single" w:color="CCCCCC" w:sz="4"/>
          <w:insideH w:val="single" w:color="auto" w:sz="4"/>
          <w:insideV w:val="single" w:color="auto" w:sz="4"/>
        </w:tblBorders>
      </w:tblPr>
      <w:tblGrid>
        <w:gridCol w:w="3600"/>
        <w:gridCol w:w="6840"/>
      </w:tblGrid>
      <w:tr>
        <w:tc>
          <w:tcPr>
            <w:tcW w:type="dxa" w:w="3600"/>
            <w:shd w:fill="F2F4F8" w:val="clear"/>
            <w:tcMar>
              <w:top w:type="dxa" w:w="60"/>
              <w:left w:type="dxa" w:w="100"/>
              <w:bottom w:type="dxa" w:w="60"/>
              <w:right w:type="dxa" w:w="100"/>
            </w:tcMar>
          </w:tcPr>
          <w:p>
            <w:pPr>
              <w:spacing w:after="100"/>
            </w:pPr>
            <w:r>
              <w:rPr>
                <w:rFonts w:ascii="Calibri" w:cs="Calibri" w:eastAsia="Calibri" w:hAnsi="Calibri"/>
                <w:b/>
                <w:bCs/>
                <w:color w:val="000000"/>
                <w:sz w:val="20"/>
                <w:szCs w:val="20"/>
              </w:rPr>
              <w:t xml:space="preserve">Vikram Malhotra</w:t>
            </w:r>
          </w:p>
        </w:tc>
        <w:tc>
          <w:tcPr>
            <w:tcW w:type="dxa" w:w="6840"/>
            <w:tcMar>
              <w:top w:type="dxa" w:w="60"/>
              <w:left w:type="dxa" w:w="100"/>
              <w:bottom w:type="dxa" w:w="60"/>
              <w:right w:type="dxa" w:w="100"/>
            </w:tcMar>
          </w:tcPr>
          <w:p>
            <w:pPr>
              <w:spacing w:after="100"/>
            </w:pPr>
            <w:r>
              <w:rPr>
                <w:rFonts w:ascii="Calibri" w:cs="Calibri" w:eastAsia="Calibri" w:hAnsi="Calibri"/>
                <w:color w:val="000000"/>
                <w:sz w:val="20"/>
                <w:szCs w:val="20"/>
              </w:rPr>
              <w:t xml:space="preserve">Managing Director (Promoter) | B.Com; 32 years in furniture manufacturing; founded the company in 2009.</w:t>
            </w:r>
          </w:p>
        </w:tc>
      </w:tr>
      <w:tr>
        <w:tc>
          <w:tcPr>
            <w:tcW w:type="dxa" w:w="3600"/>
            <w:shd w:fill="F2F4F8" w:val="clear"/>
            <w:tcMar>
              <w:top w:type="dxa" w:w="60"/>
              <w:left w:type="dxa" w:w="100"/>
              <w:bottom w:type="dxa" w:w="60"/>
              <w:right w:type="dxa" w:w="100"/>
            </w:tcMar>
          </w:tcPr>
          <w:p>
            <w:pPr>
              <w:spacing w:after="100"/>
            </w:pPr>
            <w:r>
              <w:rPr>
                <w:rFonts w:ascii="Calibri" w:cs="Calibri" w:eastAsia="Calibri" w:hAnsi="Calibri"/>
                <w:b/>
                <w:bCs/>
                <w:color w:val="000000"/>
                <w:sz w:val="20"/>
                <w:szCs w:val="20"/>
              </w:rPr>
              <w:t xml:space="preserve">Sunita Malhotra</w:t>
            </w:r>
          </w:p>
        </w:tc>
        <w:tc>
          <w:tcPr>
            <w:tcW w:type="dxa" w:w="6840"/>
            <w:tcMar>
              <w:top w:type="dxa" w:w="60"/>
              <w:left w:type="dxa" w:w="100"/>
              <w:bottom w:type="dxa" w:w="60"/>
              <w:right w:type="dxa" w:w="100"/>
            </w:tcMar>
          </w:tcPr>
          <w:p>
            <w:pPr>
              <w:spacing w:after="100"/>
            </w:pPr>
            <w:r>
              <w:rPr>
                <w:rFonts w:ascii="Calibri" w:cs="Calibri" w:eastAsia="Calibri" w:hAnsi="Calibri"/>
                <w:color w:val="000000"/>
                <w:sz w:val="20"/>
                <w:szCs w:val="20"/>
              </w:rPr>
              <w:t xml:space="preserve">Whole-time Director (Promoter) | B.A. Interior Design; heads product design and retail showrooms.</w:t>
            </w:r>
          </w:p>
        </w:tc>
      </w:tr>
      <w:tr>
        <w:tc>
          <w:tcPr>
            <w:tcW w:type="dxa" w:w="3600"/>
            <w:shd w:fill="F2F4F8" w:val="clear"/>
            <w:tcMar>
              <w:top w:type="dxa" w:w="60"/>
              <w:left w:type="dxa" w:w="100"/>
              <w:bottom w:type="dxa" w:w="60"/>
              <w:right w:type="dxa" w:w="100"/>
            </w:tcMar>
          </w:tcPr>
          <w:p>
            <w:pPr>
              <w:spacing w:after="100"/>
            </w:pPr>
            <w:r>
              <w:rPr>
                <w:rFonts w:ascii="Calibri" w:cs="Calibri" w:eastAsia="Calibri" w:hAnsi="Calibri"/>
                <w:b/>
                <w:bCs/>
                <w:color w:val="000000"/>
                <w:sz w:val="20"/>
                <w:szCs w:val="20"/>
              </w:rPr>
              <w:t xml:space="preserve">Rohan Malhotra</w:t>
            </w:r>
          </w:p>
        </w:tc>
        <w:tc>
          <w:tcPr>
            <w:tcW w:type="dxa" w:w="6840"/>
            <w:tcMar>
              <w:top w:type="dxa" w:w="60"/>
              <w:left w:type="dxa" w:w="100"/>
              <w:bottom w:type="dxa" w:w="60"/>
              <w:right w:type="dxa" w:w="100"/>
            </w:tcMar>
          </w:tcPr>
          <w:p>
            <w:pPr>
              <w:spacing w:after="100"/>
            </w:pPr>
            <w:r>
              <w:rPr>
                <w:rFonts w:ascii="Calibri" w:cs="Calibri" w:eastAsia="Calibri" w:hAnsi="Calibri"/>
                <w:color w:val="000000"/>
                <w:sz w:val="20"/>
                <w:szCs w:val="20"/>
              </w:rPr>
              <w:t xml:space="preserve">Executive Director (Promoter group) | MBA (SP Jain), B.E. Mechanical; heads operations, e-commerce and the Bhiwandi expansion.</w:t>
            </w:r>
          </w:p>
        </w:tc>
      </w:tr>
      <w:tr>
        <w:tc>
          <w:tcPr>
            <w:tcW w:type="dxa" w:w="3600"/>
            <w:shd w:fill="F2F4F8" w:val="clear"/>
            <w:tcMar>
              <w:top w:type="dxa" w:w="60"/>
              <w:left w:type="dxa" w:w="100"/>
              <w:bottom w:type="dxa" w:w="60"/>
              <w:right w:type="dxa" w:w="100"/>
            </w:tcMar>
          </w:tcPr>
          <w:p>
            <w:pPr>
              <w:spacing w:after="100"/>
            </w:pPr>
            <w:r>
              <w:rPr>
                <w:rFonts w:ascii="Calibri" w:cs="Calibri" w:eastAsia="Calibri" w:hAnsi="Calibri"/>
                <w:b/>
                <w:bCs/>
                <w:color w:val="000000"/>
                <w:sz w:val="20"/>
                <w:szCs w:val="20"/>
              </w:rPr>
              <w:t xml:space="preserve">Anand Deshpande</w:t>
            </w:r>
          </w:p>
        </w:tc>
        <w:tc>
          <w:tcPr>
            <w:tcW w:type="dxa" w:w="6840"/>
            <w:tcMar>
              <w:top w:type="dxa" w:w="60"/>
              <w:left w:type="dxa" w:w="100"/>
              <w:bottom w:type="dxa" w:w="60"/>
              <w:right w:type="dxa" w:w="100"/>
            </w:tcMar>
          </w:tcPr>
          <w:p>
            <w:pPr>
              <w:spacing w:after="100"/>
            </w:pPr>
            <w:r>
              <w:rPr>
                <w:rFonts w:ascii="Calibri" w:cs="Calibri" w:eastAsia="Calibri" w:hAnsi="Calibri"/>
                <w:color w:val="000000"/>
                <w:sz w:val="20"/>
                <w:szCs w:val="20"/>
              </w:rPr>
              <w:t xml:space="preserve">Non-executive Director | Chartered Accountant; former CFO of a listed consumer durables company.</w:t>
            </w:r>
          </w:p>
        </w:tc>
      </w:tr>
      <w:tr>
        <w:tc>
          <w:tcPr>
            <w:tcW w:type="dxa" w:w="3600"/>
            <w:shd w:fill="F2F4F8" w:val="clear"/>
            <w:tcMar>
              <w:top w:type="dxa" w:w="60"/>
              <w:left w:type="dxa" w:w="100"/>
              <w:bottom w:type="dxa" w:w="60"/>
              <w:right w:type="dxa" w:w="100"/>
            </w:tcMar>
          </w:tcPr>
          <w:p>
            <w:pPr>
              <w:spacing w:after="100"/>
            </w:pPr>
            <w:r>
              <w:rPr>
                <w:rFonts w:ascii="Calibri" w:cs="Calibri" w:eastAsia="Calibri" w:hAnsi="Calibri"/>
                <w:b/>
                <w:bCs/>
                <w:color w:val="000000"/>
                <w:sz w:val="20"/>
                <w:szCs w:val="20"/>
              </w:rPr>
              <w:t xml:space="preserve">Meera Krishnan</w:t>
            </w:r>
          </w:p>
        </w:tc>
        <w:tc>
          <w:tcPr>
            <w:tcW w:type="dxa" w:w="6840"/>
            <w:tcMar>
              <w:top w:type="dxa" w:w="60"/>
              <w:left w:type="dxa" w:w="100"/>
              <w:bottom w:type="dxa" w:w="60"/>
              <w:right w:type="dxa" w:w="100"/>
            </w:tcMar>
          </w:tcPr>
          <w:p>
            <w:pPr>
              <w:spacing w:after="100"/>
            </w:pPr>
            <w:r>
              <w:rPr>
                <w:rFonts w:ascii="Calibri" w:cs="Calibri" w:eastAsia="Calibri" w:hAnsi="Calibri"/>
                <w:color w:val="000000"/>
                <w:sz w:val="20"/>
                <w:szCs w:val="20"/>
              </w:rPr>
              <w:t xml:space="preserve">Nominee Director (Orchid Growth Ventures LLP) | MBA (IIM Bangalore); Partner at Orchid Growth Ventures.</w:t>
            </w:r>
          </w:p>
        </w:tc>
      </w:tr>
      <w:tr>
        <w:tc>
          <w:tcPr>
            <w:tcW w:type="dxa" w:w="3600"/>
            <w:shd w:fill="F2F4F8" w:val="clear"/>
            <w:tcMar>
              <w:top w:type="dxa" w:w="60"/>
              <w:left w:type="dxa" w:w="100"/>
              <w:bottom w:type="dxa" w:w="60"/>
              <w:right w:type="dxa" w:w="100"/>
            </w:tcMar>
          </w:tcPr>
          <w:p>
            <w:pPr>
              <w:spacing w:after="100"/>
            </w:pPr>
            <w:r>
              <w:rPr>
                <w:rFonts w:ascii="Calibri" w:cs="Calibri" w:eastAsia="Calibri" w:hAnsi="Calibri"/>
                <w:b/>
                <w:bCs/>
                <w:color w:val="000000"/>
                <w:sz w:val="20"/>
                <w:szCs w:val="20"/>
              </w:rPr>
              <w:t xml:space="preserve">Dr. Ashok Bhatnagar</w:t>
            </w:r>
          </w:p>
        </w:tc>
        <w:tc>
          <w:tcPr>
            <w:tcW w:type="dxa" w:w="6840"/>
            <w:tcMar>
              <w:top w:type="dxa" w:w="60"/>
              <w:left w:type="dxa" w:w="100"/>
              <w:bottom w:type="dxa" w:w="60"/>
              <w:right w:type="dxa" w:w="100"/>
            </w:tcMar>
          </w:tcPr>
          <w:p>
            <w:pPr>
              <w:spacing w:after="100"/>
            </w:pPr>
            <w:r>
              <w:rPr>
                <w:rFonts w:ascii="Calibri" w:cs="Calibri" w:eastAsia="Calibri" w:hAnsi="Calibri"/>
                <w:color w:val="000000"/>
                <w:sz w:val="20"/>
                <w:szCs w:val="20"/>
              </w:rPr>
              <w:t xml:space="preserve">Independent Director | Ph.D. Wood Science; former Director of IPIRTI; appointed voluntarily under the shareholders' agreement.</w:t>
            </w:r>
          </w:p>
        </w:tc>
      </w:tr>
      <w:tr>
        <w:tc>
          <w:tcPr>
            <w:tcW w:type="dxa" w:w="3600"/>
            <w:shd w:fill="F2F4F8" w:val="clear"/>
            <w:tcMar>
              <w:top w:type="dxa" w:w="60"/>
              <w:left w:type="dxa" w:w="100"/>
              <w:bottom w:type="dxa" w:w="60"/>
              <w:right w:type="dxa" w:w="100"/>
            </w:tcMar>
          </w:tcPr>
          <w:p>
            <w:pPr>
              <w:spacing w:after="100"/>
            </w:pPr>
            <w:r>
              <w:rPr>
                <w:rFonts w:ascii="Calibri" w:cs="Calibri" w:eastAsia="Calibri" w:hAnsi="Calibri"/>
                <w:b/>
                <w:bCs/>
                <w:color w:val="000000"/>
                <w:sz w:val="20"/>
                <w:szCs w:val="20"/>
              </w:rPr>
              <w:t xml:space="preserve">Nikhil Rathi</w:t>
            </w:r>
          </w:p>
        </w:tc>
        <w:tc>
          <w:tcPr>
            <w:tcW w:type="dxa" w:w="6840"/>
            <w:tcMar>
              <w:top w:type="dxa" w:w="60"/>
              <w:left w:type="dxa" w:w="100"/>
              <w:bottom w:type="dxa" w:w="60"/>
              <w:right w:type="dxa" w:w="100"/>
            </w:tcMar>
          </w:tcPr>
          <w:p>
            <w:pPr>
              <w:spacing w:after="100"/>
            </w:pPr>
            <w:r>
              <w:rPr>
                <w:rFonts w:ascii="Calibri" w:cs="Calibri" w:eastAsia="Calibri" w:hAnsi="Calibri"/>
                <w:color w:val="000000"/>
                <w:sz w:val="20"/>
                <w:szCs w:val="20"/>
              </w:rPr>
              <w:t xml:space="preserve">CFO | Chartered Accountant; 16 years in manufacturing finance.</w:t>
            </w:r>
          </w:p>
        </w:tc>
      </w:tr>
      <w:tr>
        <w:tc>
          <w:tcPr>
            <w:tcW w:type="dxa" w:w="3600"/>
            <w:shd w:fill="F2F4F8" w:val="clear"/>
            <w:tcMar>
              <w:top w:type="dxa" w:w="60"/>
              <w:left w:type="dxa" w:w="100"/>
              <w:bottom w:type="dxa" w:w="60"/>
              <w:right w:type="dxa" w:w="100"/>
            </w:tcMar>
          </w:tcPr>
          <w:p>
            <w:pPr>
              <w:spacing w:after="100"/>
            </w:pPr>
            <w:r>
              <w:rPr>
                <w:rFonts w:ascii="Calibri" w:cs="Calibri" w:eastAsia="Calibri" w:hAnsi="Calibri"/>
                <w:b/>
                <w:bCs/>
                <w:color w:val="000000"/>
                <w:sz w:val="20"/>
                <w:szCs w:val="20"/>
              </w:rPr>
              <w:t xml:space="preserve">Priya Nair</w:t>
            </w:r>
          </w:p>
        </w:tc>
        <w:tc>
          <w:tcPr>
            <w:tcW w:type="dxa" w:w="6840"/>
            <w:tcMar>
              <w:top w:type="dxa" w:w="60"/>
              <w:left w:type="dxa" w:w="100"/>
              <w:bottom w:type="dxa" w:w="60"/>
              <w:right w:type="dxa" w:w="100"/>
            </w:tcMar>
          </w:tcPr>
          <w:p>
            <w:pPr>
              <w:spacing w:after="100"/>
            </w:pPr>
            <w:r>
              <w:rPr>
                <w:rFonts w:ascii="Calibri" w:cs="Calibri" w:eastAsia="Calibri" w:hAnsi="Calibri"/>
                <w:color w:val="000000"/>
                <w:sz w:val="20"/>
                <w:szCs w:val="20"/>
              </w:rPr>
              <w:t xml:space="preserve">Company Secretary (ACS 41207) | 11 years' experience.</w:t>
            </w:r>
          </w:p>
        </w:tc>
      </w:tr>
    </w:tbl>
    <w:p>
      <w:pPr>
        <w:spacing w:after="60"/>
      </w:pPr>
    </w:p>
    <w:p>
      <w:pPr>
        <w:pStyle w:val="Heading1"/>
        <w:pBdr>
          <w:bottom w:val="single" w:color="1F3864" w:sz="6"/>
        </w:pBdr>
        <w:spacing w:after="100" w:before="280"/>
        <w:rPr>
          <w:rFonts w:ascii="Calibri" w:cs="Calibri" w:eastAsia="Calibri" w:hAnsi="Calibri"/>
          <w:b/>
          <w:bCs/>
          <w:color w:val="1F3864"/>
          <w:sz w:val="24"/>
          <w:szCs w:val="24"/>
        </w:rPr>
      </w:pPr>
      <w:r>
        <w:t xml:space="preserve">6.  Financial Summary</w:t>
      </w:r>
    </w:p>
    <w:p>
      <w:pPr>
        <w:spacing w:after="100"/>
      </w:pPr>
      <w:r>
        <w:rPr>
          <w:rFonts w:ascii="Calibri" w:cs="Calibri" w:eastAsia="Calibri" w:hAnsi="Calibri"/>
          <w:color w:val="000000"/>
          <w:sz w:val="20"/>
          <w:szCs w:val="20"/>
        </w:rPr>
        <w:t xml:space="preserve">The following table summarises the audited profit and loss for FY 2023-24 to FY 2025-26 and the provisional results for the two months ended 1 June 2026. Amounts are in Rs. Lakhs.</w:t>
      </w:r>
    </w:p>
    <w:p>
      <w:pPr>
        <w:spacing w:after="60"/>
      </w:pPr>
    </w:p>
    <w:tbl>
      <w:tblPr>
        <w:tblW w:type="dxa" w:w="10440"/>
        <w:tblBorders>
          <w:top w:val="single" w:color="CCCCCC" w:sz="4"/>
          <w:left w:val="single" w:color="CCCCCC" w:sz="4"/>
          <w:bottom w:val="single" w:color="CCCCCC" w:sz="4"/>
          <w:right w:val="single" w:color="CCCCCC" w:sz="4"/>
          <w:insideH w:val="single" w:color="auto" w:sz="4"/>
          <w:insideV w:val="single" w:color="auto" w:sz="4"/>
        </w:tblBorders>
      </w:tblPr>
      <w:tblGrid>
        <w:gridCol w:w="4200"/>
        <w:gridCol w:w="2010"/>
        <w:gridCol w:w="2010"/>
        <w:gridCol w:w="2010"/>
      </w:tblGrid>
      <w:tr>
        <w:tc>
          <w:tcPr>
            <w:tcW w:type="dxa" w:w="4200"/>
            <w:shd w:fill="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Particulars</w:t>
            </w:r>
          </w:p>
        </w:tc>
        <w:tc>
          <w:tcPr>
            <w:tcW w:type="dxa" w:w="2010"/>
            <w:shd w:fill="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FY 2023-24</w:t>
            </w:r>
          </w:p>
        </w:tc>
        <w:tc>
          <w:tcPr>
            <w:tcW w:type="dxa" w:w="2010"/>
            <w:shd w:fill="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FY 2024-25</w:t>
            </w:r>
          </w:p>
        </w:tc>
        <w:tc>
          <w:tcPr>
            <w:tcW w:type="dxa" w:w="2010"/>
            <w:shd w:fill="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FY 2025-26</w:t>
            </w:r>
          </w:p>
        </w:tc>
      </w:tr>
      <w:tr>
        <w:tc>
          <w:tcPr>
            <w:tcW w:type="dxa" w:w="4200"/>
            <w:shd w:fill="FFFFFF" w:val="clear"/>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Revenue from operations</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8,200</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9,650</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11,400</w:t>
            </w:r>
          </w:p>
        </w:tc>
      </w:tr>
      <w:tr>
        <w:tc>
          <w:tcPr>
            <w:tcW w:type="dxa" w:w="4200"/>
            <w:shd w:fill="FFFFFF" w:val="clear"/>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Other income</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42</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48</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55</w:t>
            </w:r>
          </w:p>
        </w:tc>
      </w:tr>
      <w:tr>
        <w:tc>
          <w:tcPr>
            <w:tcW w:type="dxa" w:w="4200"/>
            <w:shd w:fill="FFFFFF" w:val="clear"/>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Total income</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8,242</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9,698</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11,455</w:t>
            </w:r>
          </w:p>
        </w:tc>
      </w:tr>
      <w:tr>
        <w:tc>
          <w:tcPr>
            <w:tcW w:type="dxa" w:w="4200"/>
            <w:shd w:fill="FFFFFF" w:val="clear"/>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EBITDA</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1,220</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1,225</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1,560</w:t>
            </w:r>
          </w:p>
        </w:tc>
      </w:tr>
      <w:tr>
        <w:tc>
          <w:tcPr>
            <w:tcW w:type="dxa" w:w="4200"/>
            <w:shd w:fill="FFFFFF" w:val="clear"/>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EBITDA margin</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14.9%</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12.7%</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13.7%</w:t>
            </w:r>
          </w:p>
        </w:tc>
      </w:tr>
      <w:tr>
        <w:tc>
          <w:tcPr>
            <w:tcW w:type="dxa" w:w="4200"/>
            <w:shd w:fill="FFFFFF" w:val="clear"/>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Profit before tax</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732</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703</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965</w:t>
            </w:r>
          </w:p>
        </w:tc>
      </w:tr>
      <w:tr>
        <w:tc>
          <w:tcPr>
            <w:tcW w:type="dxa" w:w="4200"/>
            <w:shd w:fill="FFFFFF" w:val="clear"/>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Profit after tax</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522</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478</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695</w:t>
            </w:r>
          </w:p>
        </w:tc>
      </w:tr>
      <w:tr>
        <w:tc>
          <w:tcPr>
            <w:tcW w:type="dxa" w:w="4200"/>
            <w:shd w:fill="FFFFFF" w:val="clear"/>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PAT margin</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6.4%</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5.0%</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6.1%</w:t>
            </w:r>
          </w:p>
        </w:tc>
      </w:tr>
    </w:tbl>
    <w:p>
      <w:pPr>
        <w:spacing w:after="60"/>
      </w:pPr>
    </w:p>
    <w:p>
      <w:pPr>
        <w:spacing w:after="100"/>
      </w:pPr>
      <w:r>
        <w:rPr>
          <w:rFonts w:ascii="Calibri" w:cs="Calibri" w:eastAsia="Calibri" w:hAnsi="Calibri"/>
          <w:color w:val="000000"/>
          <w:sz w:val="20"/>
          <w:szCs w:val="20"/>
        </w:rPr>
        <w:t xml:space="preserve">Provisional period (1 April 2026 to 1 June 2026, unaudited): revenue Rs. 2,050 Lakhs; EBITDA Rs. 275 Lakhs (13.4% margin); PAT Rs. 125 Lakhs.</w:t>
      </w:r>
    </w:p>
    <w:p>
      <w:pPr>
        <w:spacing w:after="60"/>
      </w:pPr>
    </w:p>
    <w:tbl>
      <w:tblPr>
        <w:tblW w:type="dxa" w:w="10440"/>
        <w:tblBorders>
          <w:top w:val="single" w:color="CCCCCC" w:sz="4"/>
          <w:left w:val="single" w:color="CCCCCC" w:sz="4"/>
          <w:bottom w:val="single" w:color="CCCCCC" w:sz="4"/>
          <w:right w:val="single" w:color="CCCCCC" w:sz="4"/>
          <w:insideH w:val="single" w:color="auto" w:sz="4"/>
          <w:insideV w:val="single" w:color="auto" w:sz="4"/>
        </w:tblBorders>
      </w:tblPr>
      <w:tblGrid>
        <w:gridCol w:w="4200"/>
        <w:gridCol w:w="2010"/>
        <w:gridCol w:w="2010"/>
        <w:gridCol w:w="2010"/>
      </w:tblGrid>
      <w:tr>
        <w:tc>
          <w:tcPr>
            <w:tcW w:type="dxa" w:w="4200"/>
            <w:shd w:fill="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Particulars</w:t>
            </w:r>
          </w:p>
        </w:tc>
        <w:tc>
          <w:tcPr>
            <w:tcW w:type="dxa" w:w="2010"/>
            <w:shd w:fill="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31-Mar-24</w:t>
            </w:r>
          </w:p>
        </w:tc>
        <w:tc>
          <w:tcPr>
            <w:tcW w:type="dxa" w:w="2010"/>
            <w:shd w:fill="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31-Mar-25</w:t>
            </w:r>
          </w:p>
        </w:tc>
        <w:tc>
          <w:tcPr>
            <w:tcW w:type="dxa" w:w="2010"/>
            <w:shd w:fill="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31-Mar-26</w:t>
            </w:r>
          </w:p>
        </w:tc>
      </w:tr>
      <w:tr>
        <w:tc>
          <w:tcPr>
            <w:tcW w:type="dxa" w:w="4200"/>
            <w:shd w:fill="FFFFFF" w:val="clear"/>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Total assets</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6,060</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6,703</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8,663</w:t>
            </w:r>
          </w:p>
        </w:tc>
      </w:tr>
      <w:tr>
        <w:tc>
          <w:tcPr>
            <w:tcW w:type="dxa" w:w="4200"/>
            <w:shd w:fill="FFFFFF" w:val="clear"/>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Net worth (equity + reserves)</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3,040</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3,518</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4,413</w:t>
            </w:r>
          </w:p>
        </w:tc>
      </w:tr>
      <w:tr>
        <w:tc>
          <w:tcPr>
            <w:tcW w:type="dxa" w:w="4200"/>
            <w:shd w:fill="FFFFFF" w:val="clear"/>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Total borrowings</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2,630</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2,755</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3,355</w:t>
            </w:r>
          </w:p>
        </w:tc>
      </w:tr>
      <w:tr>
        <w:tc>
          <w:tcPr>
            <w:tcW w:type="dxa" w:w="4200"/>
            <w:shd w:fill="FFFFFF" w:val="clear"/>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Net debt</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2,230</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2,367</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2,462</w:t>
            </w:r>
          </w:p>
        </w:tc>
      </w:tr>
      <w:tr>
        <w:tc>
          <w:tcPr>
            <w:tcW w:type="dxa" w:w="4200"/>
            <w:shd w:fill="FFFFFF" w:val="clear"/>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Debt to equity</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0.86x</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0.78x</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0.76x</w:t>
            </w:r>
          </w:p>
        </w:tc>
      </w:tr>
      <w:tr>
        <w:tc>
          <w:tcPr>
            <w:tcW w:type="dxa" w:w="4200"/>
            <w:shd w:fill="FFFFFF" w:val="clear"/>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Interest coverage (EBITDA / finance costs)</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4.98x</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4.71x</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5.38x</w:t>
            </w:r>
          </w:p>
        </w:tc>
      </w:tr>
    </w:tbl>
    <w:p>
      <w:pPr>
        <w:spacing w:after="60"/>
      </w:pPr>
    </w:p>
    <w:p>
      <w:pPr>
        <w:pStyle w:val="Heading1"/>
        <w:pBdr>
          <w:bottom w:val="single" w:color="1F3864" w:sz="6"/>
        </w:pBdr>
        <w:spacing w:after="100" w:before="280"/>
        <w:rPr>
          <w:rFonts w:ascii="Calibri" w:cs="Calibri" w:eastAsia="Calibri" w:hAnsi="Calibri"/>
          <w:b/>
          <w:bCs/>
          <w:color w:val="1F3864"/>
          <w:sz w:val="24"/>
          <w:szCs w:val="24"/>
        </w:rPr>
      </w:pPr>
      <w:r>
        <w:t xml:space="preserve">7.  Management Projections (FY 2026-27 to FY 2030-31)</w:t>
      </w:r>
    </w:p>
    <w:p>
      <w:pPr>
        <w:spacing w:after="100"/>
      </w:pPr>
      <w:r>
        <w:rPr>
          <w:rFonts w:ascii="Calibri" w:cs="Calibri" w:eastAsia="Calibri" w:hAnsi="Calibri"/>
          <w:color w:val="000000"/>
          <w:sz w:val="20"/>
          <w:szCs w:val="20"/>
        </w:rPr>
        <w:t xml:space="preserve">The following projections have been prepared by management and approved by the Board in August 2026. They reflect the incremental revenue and cost base from the commissioned Plot No. 48 unit. Amounts are in Rs. Lakhs.</w:t>
      </w:r>
    </w:p>
    <w:p>
      <w:pPr>
        <w:spacing w:after="60"/>
      </w:pPr>
    </w:p>
    <w:tbl>
      <w:tblPr>
        <w:tblW w:type="dxa" w:w="10440"/>
        <w:tblBorders>
          <w:top w:val="single" w:color="CCCCCC" w:sz="4"/>
          <w:left w:val="single" w:color="CCCCCC" w:sz="4"/>
          <w:bottom w:val="single" w:color="CCCCCC" w:sz="4"/>
          <w:right w:val="single" w:color="CCCCCC" w:sz="4"/>
          <w:insideH w:val="single" w:color="auto" w:sz="4"/>
          <w:insideV w:val="single" w:color="auto" w:sz="4"/>
        </w:tblBorders>
      </w:tblPr>
      <w:tblGrid>
        <w:gridCol w:w="4200"/>
        <w:gridCol w:w="2010"/>
        <w:gridCol w:w="2010"/>
        <w:gridCol w:w="2010"/>
      </w:tblGrid>
      <w:tr>
        <w:tc>
          <w:tcPr>
            <w:tcW w:type="dxa" w:w="4200"/>
            <w:shd w:fill="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Particulars</w:t>
            </w:r>
          </w:p>
        </w:tc>
        <w:tc>
          <w:tcPr>
            <w:tcW w:type="dxa" w:w="2010"/>
            <w:shd w:fill="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FY 26-27</w:t>
            </w:r>
          </w:p>
        </w:tc>
        <w:tc>
          <w:tcPr>
            <w:tcW w:type="dxa" w:w="2010"/>
            <w:shd w:fill="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FY 27-28</w:t>
            </w:r>
          </w:p>
        </w:tc>
        <w:tc>
          <w:tcPr>
            <w:tcW w:type="dxa" w:w="2010"/>
            <w:shd w:fill="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FY 28-29</w:t>
            </w:r>
          </w:p>
        </w:tc>
      </w:tr>
      <w:tr>
        <w:tc>
          <w:tcPr>
            <w:tcW w:type="dxa" w:w="4200"/>
            <w:shd w:fill="FFFFFF" w:val="clear"/>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Revenue growth</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18.0%</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16.0%</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14.0%</w:t>
            </w:r>
          </w:p>
        </w:tc>
      </w:tr>
      <w:tr>
        <w:tc>
          <w:tcPr>
            <w:tcW w:type="dxa" w:w="4200"/>
            <w:shd w:fill="FFFFFF" w:val="clear"/>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Revenue from operations</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13,452</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15,604</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17,789</w:t>
            </w:r>
          </w:p>
        </w:tc>
      </w:tr>
      <w:tr>
        <w:tc>
          <w:tcPr>
            <w:tcW w:type="dxa" w:w="4200"/>
            <w:shd w:fill="FFFFFF" w:val="clear"/>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EBITDA</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1,870</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2,247</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2,633</w:t>
            </w:r>
          </w:p>
        </w:tc>
      </w:tr>
      <w:tr>
        <w:tc>
          <w:tcPr>
            <w:tcW w:type="dxa" w:w="4200"/>
            <w:shd w:fill="FFFFFF" w:val="clear"/>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EBITDA margin</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13.9%</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14.4%</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14.8%</w:t>
            </w:r>
          </w:p>
        </w:tc>
      </w:tr>
      <w:tr>
        <w:tc>
          <w:tcPr>
            <w:tcW w:type="dxa" w:w="4200"/>
            <w:shd w:fill="FFFFFF" w:val="clear"/>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Profit after tax</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936</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1,214</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1,535</w:t>
            </w:r>
          </w:p>
        </w:tc>
      </w:tr>
      <w:tr>
        <w:tc>
          <w:tcPr>
            <w:tcW w:type="dxa" w:w="4200"/>
            <w:shd w:fill="FFFFFF" w:val="clear"/>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Cash capital expenditure</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662</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462</w:t>
            </w:r>
          </w:p>
        </w:tc>
        <w:tc>
          <w:tcPr>
            <w:tcW w:type="dxa" w:w="2010"/>
            <w:shd w:fill="FFFFFF" w:val="clear"/>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512</w:t>
            </w:r>
          </w:p>
        </w:tc>
      </w:tr>
    </w:tbl>
    <w:p>
      <w:pPr>
        <w:spacing w:after="60"/>
      </w:pPr>
    </w:p>
    <w:p>
      <w:pPr>
        <w:spacing w:after="100"/>
      </w:pPr>
      <w:r>
        <w:rPr>
          <w:rFonts w:ascii="Calibri" w:cs="Calibri" w:eastAsia="Calibri" w:hAnsi="Calibri"/>
          <w:color w:val="000000"/>
          <w:sz w:val="20"/>
          <w:szCs w:val="20"/>
        </w:rPr>
        <w:t xml:space="preserve">By FY 2030-31, management projects revenue of approximately Rs. 21,916 Lakhs, EBITDA of Rs. 3,353 Lakhs (15.3% margin) and net cash (post debt repayment) of Rs. 4,211 Lakhs. Revenue CAGR over five years: approximately 14%.</w:t>
      </w:r>
    </w:p>
    <w:p>
      <w:pPr>
        <w:spacing w:after="60"/>
      </w:pPr>
    </w:p>
    <w:p>
      <w:pPr>
        <w:pStyle w:val="Heading1"/>
        <w:pBdr>
          <w:bottom w:val="single" w:color="1F3864" w:sz="6"/>
        </w:pBdr>
        <w:spacing w:after="100" w:before="280"/>
        <w:rPr>
          <w:rFonts w:ascii="Calibri" w:cs="Calibri" w:eastAsia="Calibri" w:hAnsi="Calibri"/>
          <w:b/>
          <w:bCs/>
          <w:color w:val="1F3864"/>
          <w:sz w:val="24"/>
          <w:szCs w:val="24"/>
        </w:rPr>
      </w:pPr>
      <w:r>
        <w:t xml:space="preserve">8.  Key Agreements and Related Parties</w:t>
      </w:r>
    </w:p>
    <w:p>
      <w:pPr>
        <w:pStyle w:val="ListParagraph"/>
        <w:numPr>
          <w:ilvl w:val="0"/>
          <w:numId w:val="1"/>
        </w:numPr>
        <w:spacing w:after="60"/>
      </w:pPr>
      <w:r>
        <w:rPr>
          <w:rFonts w:ascii="Calibri" w:cs="Calibri" w:eastAsia="Calibri" w:hAnsi="Calibri"/>
          <w:sz w:val="20"/>
          <w:szCs w:val="20"/>
        </w:rPr>
        <w:t xml:space="preserve">Shareholders' agreement (22 March 2022, amended 12 November 2025) with Orchid Growth Ventures LLP and Meridian Capital Partners Fund II: pre-emptive rights, tag-along, drag-along, affirmative voting rights on reserved matters, and anti-dilution protection on CCPS.</w:t>
      </w:r>
    </w:p>
    <w:p>
      <w:pPr>
        <w:pStyle w:val="ListParagraph"/>
        <w:numPr>
          <w:ilvl w:val="0"/>
          <w:numId w:val="1"/>
        </w:numPr>
        <w:spacing w:after="60"/>
      </w:pPr>
      <w:r>
        <w:rPr>
          <w:rFonts w:ascii="Calibri" w:cs="Calibri" w:eastAsia="Calibri" w:hAnsi="Calibri"/>
          <w:sz w:val="20"/>
          <w:szCs w:val="20"/>
        </w:rPr>
        <w:t xml:space="preserve">Supply agreement with Vanraj Timber Traders LLP (entity controlled by promoters) for timber and plywood; transactions of Rs. 412.5 Lakhs in FY 2025-26 at arm's length, approved by the Audit and Risk Committee.</w:t>
      </w:r>
    </w:p>
    <w:p>
      <w:pPr>
        <w:pStyle w:val="ListParagraph"/>
        <w:numPr>
          <w:ilvl w:val="0"/>
          <w:numId w:val="1"/>
        </w:numPr>
        <w:spacing w:after="60"/>
      </w:pPr>
      <w:r>
        <w:rPr>
          <w:rFonts w:ascii="Calibri" w:cs="Calibri" w:eastAsia="Calibri" w:hAnsi="Calibri"/>
          <w:sz w:val="20"/>
          <w:szCs w:val="20"/>
        </w:rPr>
        <w:t xml:space="preserve">Lease of Andheri showroom premises from Malhotra Family Trust; rent of Rs. 36 Lakhs per annum.</w:t>
      </w:r>
    </w:p>
    <w:p>
      <w:pPr>
        <w:pStyle w:val="ListParagraph"/>
        <w:numPr>
          <w:ilvl w:val="0"/>
          <w:numId w:val="1"/>
        </w:numPr>
        <w:spacing w:after="60"/>
      </w:pPr>
      <w:r>
        <w:rPr>
          <w:rFonts w:ascii="Calibri" w:cs="Calibri" w:eastAsia="Calibri" w:hAnsi="Calibri"/>
          <w:sz w:val="20"/>
          <w:szCs w:val="20"/>
        </w:rPr>
        <w:t xml:space="preserve">6,00,000 equity shares of Vikram Malhotra are pledged with State Bank of India as collateral for the term loan.</w:t>
      </w:r>
    </w:p>
    <w:p>
      <w:pPr>
        <w:spacing w:after="60"/>
      </w:pPr>
    </w:p>
    <w:p>
      <w:pPr>
        <w:pStyle w:val="Heading1"/>
        <w:pBdr>
          <w:bottom w:val="single" w:color="1F3864" w:sz="6"/>
        </w:pBdr>
        <w:spacing w:after="100" w:before="280"/>
        <w:rPr>
          <w:rFonts w:ascii="Calibri" w:cs="Calibri" w:eastAsia="Calibri" w:hAnsi="Calibri"/>
          <w:b/>
          <w:bCs/>
          <w:color w:val="1F3864"/>
          <w:sz w:val="24"/>
          <w:szCs w:val="24"/>
        </w:rPr>
      </w:pPr>
      <w:r>
        <w:t xml:space="preserve">9.  Disclaimer</w:t>
      </w:r>
    </w:p>
    <w:p>
      <w:pPr>
        <w:spacing w:after="100"/>
      </w:pPr>
      <w:r>
        <w:rPr>
          <w:rFonts w:ascii="Calibri" w:cs="Calibri" w:eastAsia="Calibri" w:hAnsi="Calibri"/>
          <w:color w:val="000000"/>
          <w:sz w:val="20"/>
          <w:szCs w:val="20"/>
        </w:rPr>
        <w:t xml:space="preserve">This company profile has been prepared on the basis of imaginary data for the sole purpose of testing a valuation model. The company Vanraj Furniture Industries Private Limited and all persons, financial figures, agreements and details described herein are fictitious. Any resemblance to an actual company, person or transaction is coincidental. This document does not constitute a valuation opinion, investment advice or a representation of fact.</w:t>
      </w:r>
    </w:p>
    <w:sectPr>
      <w:headerReference w:type="default" r:id="rId7"/>
      <w:footerReference w:type="default" r:id="rId8"/>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right"/>
    </w:pPr>
    <w:r>
      <w:rPr>
        <w:rFonts w:ascii="Calibri" w:cs="Calibri" w:eastAsia="Calibri" w:hAnsi="Calibri"/>
        <w:color w:val="888888"/>
        <w:sz w:val="16"/>
        <w:szCs w:val="16"/>
      </w:rPr>
      <w:t xml:space="preserve">Prepared for valuation purposes only. All data is imaginary.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Calibri" w:cs="Calibri" w:eastAsia="Calibri" w:hAnsi="Calibri"/>
        <w:color w:val="888888"/>
        <w:sz w:val="16"/>
        <w:szCs w:val="16"/>
      </w:rPr>
      <w:t xml:space="preserve">Vanraj Furniture Industries Private Limited | Company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rFonts w:ascii="Symbol" w:cs="Symbol" w:eastAsia="Symbol" w:hAnsi="Symbo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2026-09-04T14:42:59.981Z</dcterms:created>
  <dcterms:modified xsi:type="dcterms:W3CDTF">2026-09-04T14:42:59.992Z</dcterms:modified>
</cp:coreProperties>
</file>

<file path=docProps/custom.xml><?xml version="1.0" encoding="utf-8"?>
<Properties xmlns="http://schemas.openxmlformats.org/officeDocument/2006/custom-properties" xmlns:vt="http://schemas.openxmlformats.org/officeDocument/2006/docPropsVTypes"/>
</file>