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5A0D" w14:textId="77777777" w:rsidR="002338AE" w:rsidRDefault="00000000">
      <w:pPr>
        <w:pStyle w:val="Heading1"/>
      </w:pPr>
      <w:r>
        <w:t>Corporate Credit Appraisal Engine - Project Summary</w:t>
      </w:r>
    </w:p>
    <w:p w14:paraId="4EB36370" w14:textId="77777777" w:rsidR="002338AE" w:rsidRDefault="00000000">
      <w:r>
        <w:rPr>
          <w:i/>
        </w:rPr>
        <w:t>Automated financial evaluation and credit appraisal for corporate loans of ₹10-50 Cr. Prepared by Claude, 25 October 2026. Deliverable: credit_appraisal.zip.</w:t>
      </w:r>
    </w:p>
    <w:p w14:paraId="52FA9ACD" w14:textId="77777777" w:rsidR="002338AE" w:rsidRDefault="00000000">
      <w:pPr>
        <w:pStyle w:val="Heading2"/>
      </w:pPr>
      <w:r>
        <w:t>1. Purpose and scope</w:t>
      </w:r>
    </w:p>
    <w:p w14:paraId="73117F83" w14:textId="77777777" w:rsidR="002338AE" w:rsidRDefault="00000000">
      <w:r>
        <w:t xml:space="preserve">The application automates the financial appraisal of corporate loan applicants seeking facilities between ₹10 Cr and ₹50 Cr, from the viewpoint of a senior credit underwriter at an NBFC. It ingests three years of audited financials plus existing-debt and proposed-facility details, computes a standard ratio set, scores the borrower on an internal A-E grade, tests NBFC policy guardrails on a post-loan basis, and drafts a credit appraisal memo with covenants and monitoring triggers. It is delivered as a </w:t>
      </w:r>
      <w:proofErr w:type="spellStart"/>
      <w:r>
        <w:t>Streamlit</w:t>
      </w:r>
      <w:proofErr w:type="spellEnd"/>
      <w:r>
        <w:t xml:space="preserve"> dashboard built on Pandas, NumPy and </w:t>
      </w:r>
      <w:proofErr w:type="spellStart"/>
      <w:r>
        <w:t>Plotly</w:t>
      </w:r>
      <w:proofErr w:type="spellEnd"/>
      <w:r>
        <w:t xml:space="preserve"> (Python 3.10+).</w:t>
      </w:r>
    </w:p>
    <w:p w14:paraId="0155CB04" w14:textId="77777777" w:rsidR="002338AE" w:rsidRDefault="00000000">
      <w:r>
        <w:rPr>
          <w:b/>
        </w:rPr>
        <w:t>Status:</w:t>
      </w:r>
      <w:r>
        <w:t xml:space="preserve"> engine and dashboard logic tested end to end on three sample applicants, including Excel and CSV ingestion and validation errors. The visual rendering in </w:t>
      </w:r>
      <w:proofErr w:type="spellStart"/>
      <w:r>
        <w:t>Streamlit</w:t>
      </w:r>
      <w:proofErr w:type="spellEnd"/>
      <w:r>
        <w:t xml:space="preserve"> and </w:t>
      </w:r>
      <w:proofErr w:type="spellStart"/>
      <w:r>
        <w:t>Plotly</w:t>
      </w:r>
      <w:proofErr w:type="spellEnd"/>
      <w:r>
        <w:t xml:space="preserve"> has not been run in the build environment, so a first-launch check of charts and layout is recommended.</w:t>
      </w:r>
    </w:p>
    <w:p w14:paraId="535A06D5" w14:textId="77777777" w:rsidR="002338AE" w:rsidRDefault="00000000">
      <w:pPr>
        <w:pStyle w:val="Heading2"/>
      </w:pPr>
      <w:r>
        <w:t>2. Architecture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29"/>
        <w:gridCol w:w="5730"/>
      </w:tblGrid>
      <w:tr w:rsidR="002338AE" w14:paraId="6EDDE5AC" w14:textId="77777777">
        <w:trPr>
          <w:tblHeader/>
        </w:trPr>
        <w:tc>
          <w:tcPr>
            <w:tcW w:w="3629" w:type="dxa"/>
            <w:shd w:val="clear" w:color="auto" w:fill="F2F2F2"/>
          </w:tcPr>
          <w:p w14:paraId="3FC503EE" w14:textId="77777777" w:rsidR="002338AE" w:rsidRDefault="00000000">
            <w:r>
              <w:t>Module</w:t>
            </w:r>
          </w:p>
        </w:tc>
        <w:tc>
          <w:tcPr>
            <w:tcW w:w="5730" w:type="dxa"/>
            <w:shd w:val="clear" w:color="auto" w:fill="F2F2F2"/>
          </w:tcPr>
          <w:p w14:paraId="04348BA5" w14:textId="77777777" w:rsidR="002338AE" w:rsidRDefault="00000000">
            <w:r>
              <w:t>Role</w:t>
            </w:r>
          </w:p>
        </w:tc>
      </w:tr>
      <w:tr w:rsidR="002338AE" w14:paraId="18933F72" w14:textId="77777777">
        <w:tc>
          <w:tcPr>
            <w:tcW w:w="3629" w:type="dxa"/>
          </w:tcPr>
          <w:p w14:paraId="51C0E22E" w14:textId="77777777" w:rsidR="002338AE" w:rsidRDefault="00000000">
            <w:r>
              <w:rPr>
                <w:rStyle w:val="CodeChar"/>
              </w:rPr>
              <w:t>appraisal/config.py</w:t>
            </w:r>
          </w:p>
        </w:tc>
        <w:tc>
          <w:tcPr>
            <w:tcW w:w="5730" w:type="dxa"/>
          </w:tcPr>
          <w:p w14:paraId="6FB1F1B9" w14:textId="77777777" w:rsidR="002338AE" w:rsidRDefault="00000000">
            <w:r>
              <w:t xml:space="preserve">Policy limits, scorecard weights and bounds, grade bands, ratio </w:t>
            </w:r>
            <w:proofErr w:type="spellStart"/>
            <w:r>
              <w:t>colour</w:t>
            </w:r>
            <w:proofErr w:type="spellEnd"/>
            <w:r>
              <w:t xml:space="preserve"> thresholds, formatters</w:t>
            </w:r>
          </w:p>
        </w:tc>
      </w:tr>
      <w:tr w:rsidR="002338AE" w14:paraId="7E6E5492" w14:textId="77777777">
        <w:tc>
          <w:tcPr>
            <w:tcW w:w="3629" w:type="dxa"/>
          </w:tcPr>
          <w:p w14:paraId="63F5A7FE" w14:textId="77777777" w:rsidR="002338AE" w:rsidRDefault="00000000">
            <w:r>
              <w:rPr>
                <w:rStyle w:val="CodeChar"/>
              </w:rPr>
              <w:t>appraisal/ingestion.py</w:t>
            </w:r>
          </w:p>
        </w:tc>
        <w:tc>
          <w:tcPr>
            <w:tcW w:w="5730" w:type="dxa"/>
          </w:tcPr>
          <w:p w14:paraId="623AA239" w14:textId="77777777" w:rsidR="002338AE" w:rsidRDefault="00000000">
            <w:r>
              <w:t>Excel and CSV loading, schema and balance-sheet validation</w:t>
            </w:r>
          </w:p>
        </w:tc>
      </w:tr>
      <w:tr w:rsidR="002338AE" w14:paraId="5639EFF2" w14:textId="77777777">
        <w:tc>
          <w:tcPr>
            <w:tcW w:w="3629" w:type="dxa"/>
          </w:tcPr>
          <w:p w14:paraId="69AF6C82" w14:textId="77777777" w:rsidR="002338AE" w:rsidRDefault="00000000">
            <w:r>
              <w:rPr>
                <w:rStyle w:val="CodeChar"/>
              </w:rPr>
              <w:t>appraisal/sample_data.py</w:t>
            </w:r>
          </w:p>
        </w:tc>
        <w:tc>
          <w:tcPr>
            <w:tcW w:w="5730" w:type="dxa"/>
          </w:tcPr>
          <w:p w14:paraId="09E2A0A7" w14:textId="77777777" w:rsidR="002338AE" w:rsidRDefault="00000000">
            <w:r>
              <w:t>Three mock applicants with balanced statements; Excel template writer</w:t>
            </w:r>
          </w:p>
        </w:tc>
      </w:tr>
      <w:tr w:rsidR="002338AE" w14:paraId="7FF99153" w14:textId="77777777">
        <w:tc>
          <w:tcPr>
            <w:tcW w:w="3629" w:type="dxa"/>
          </w:tcPr>
          <w:p w14:paraId="07B7097C" w14:textId="77777777" w:rsidR="002338AE" w:rsidRDefault="00000000">
            <w:r>
              <w:rPr>
                <w:rStyle w:val="CodeChar"/>
              </w:rPr>
              <w:t>appraisal/ratios.py</w:t>
            </w:r>
          </w:p>
        </w:tc>
        <w:tc>
          <w:tcPr>
            <w:tcW w:w="5730" w:type="dxa"/>
          </w:tcPr>
          <w:p w14:paraId="13F3831C" w14:textId="77777777" w:rsidR="002338AE" w:rsidRDefault="00000000">
            <w:r>
              <w:t>Derived line items and all profitability, liquidity and gearing ratios</w:t>
            </w:r>
          </w:p>
        </w:tc>
      </w:tr>
      <w:tr w:rsidR="002338AE" w14:paraId="528C928C" w14:textId="77777777">
        <w:tc>
          <w:tcPr>
            <w:tcW w:w="3629" w:type="dxa"/>
          </w:tcPr>
          <w:p w14:paraId="24491A49" w14:textId="77777777" w:rsidR="002338AE" w:rsidRDefault="00000000">
            <w:r>
              <w:rPr>
                <w:rStyle w:val="CodeChar"/>
              </w:rPr>
              <w:t>appraisal/exposure.py</w:t>
            </w:r>
          </w:p>
        </w:tc>
        <w:tc>
          <w:tcPr>
            <w:tcW w:w="5730" w:type="dxa"/>
          </w:tcPr>
          <w:p w14:paraId="2382232F" w14:textId="77777777" w:rsidR="002338AE" w:rsidRDefault="00000000">
            <w:r>
              <w:t>Existing-exposure profile, pro-forma metrics, stress grid, repayment schedule</w:t>
            </w:r>
          </w:p>
        </w:tc>
      </w:tr>
      <w:tr w:rsidR="002338AE" w14:paraId="2A55EDD4" w14:textId="77777777">
        <w:tc>
          <w:tcPr>
            <w:tcW w:w="3629" w:type="dxa"/>
          </w:tcPr>
          <w:p w14:paraId="75DEE1D8" w14:textId="77777777" w:rsidR="002338AE" w:rsidRDefault="00000000">
            <w:r>
              <w:rPr>
                <w:rStyle w:val="CodeChar"/>
              </w:rPr>
              <w:t>appraisal/scoring.py</w:t>
            </w:r>
          </w:p>
        </w:tc>
        <w:tc>
          <w:tcPr>
            <w:tcW w:w="5730" w:type="dxa"/>
          </w:tcPr>
          <w:p w14:paraId="028B0546" w14:textId="77777777" w:rsidR="002338AE" w:rsidRDefault="00000000">
            <w:r>
              <w:t>Weighted scorecard, grade overrides, policy compliance checks</w:t>
            </w:r>
          </w:p>
        </w:tc>
      </w:tr>
      <w:tr w:rsidR="002338AE" w14:paraId="5D1F0716" w14:textId="77777777">
        <w:tc>
          <w:tcPr>
            <w:tcW w:w="3629" w:type="dxa"/>
          </w:tcPr>
          <w:p w14:paraId="3D91959E" w14:textId="77777777" w:rsidR="002338AE" w:rsidRDefault="00000000">
            <w:r>
              <w:rPr>
                <w:rStyle w:val="CodeChar"/>
              </w:rPr>
              <w:t>appraisal/memo.py</w:t>
            </w:r>
          </w:p>
        </w:tc>
        <w:tc>
          <w:tcPr>
            <w:tcW w:w="5730" w:type="dxa"/>
          </w:tcPr>
          <w:p w14:paraId="15259057" w14:textId="77777777" w:rsidR="002338AE" w:rsidRDefault="00000000">
            <w:r>
              <w:t>Recommendation engine, covenants, monitoring triggers, Markdown memo</w:t>
            </w:r>
          </w:p>
        </w:tc>
      </w:tr>
      <w:tr w:rsidR="002338AE" w14:paraId="2676D4CA" w14:textId="77777777">
        <w:tc>
          <w:tcPr>
            <w:tcW w:w="3629" w:type="dxa"/>
          </w:tcPr>
          <w:p w14:paraId="0A5FBAA7" w14:textId="77777777" w:rsidR="002338AE" w:rsidRDefault="00000000">
            <w:r>
              <w:rPr>
                <w:rStyle w:val="CodeChar"/>
              </w:rPr>
              <w:t>appraisal/charts.py</w:t>
            </w:r>
          </w:p>
        </w:tc>
        <w:tc>
          <w:tcPr>
            <w:tcW w:w="5730" w:type="dxa"/>
          </w:tcPr>
          <w:p w14:paraId="15883C1D" w14:textId="77777777" w:rsidR="002338AE" w:rsidRDefault="00000000">
            <w:proofErr w:type="spellStart"/>
            <w:r>
              <w:t>Plotly</w:t>
            </w:r>
            <w:proofErr w:type="spellEnd"/>
            <w:r>
              <w:t xml:space="preserve"> figures</w:t>
            </w:r>
          </w:p>
        </w:tc>
      </w:tr>
      <w:tr w:rsidR="002338AE" w14:paraId="0FE952F1" w14:textId="77777777">
        <w:tc>
          <w:tcPr>
            <w:tcW w:w="3629" w:type="dxa"/>
          </w:tcPr>
          <w:p w14:paraId="37CE2253" w14:textId="77777777" w:rsidR="002338AE" w:rsidRDefault="00000000">
            <w:r>
              <w:rPr>
                <w:rStyle w:val="CodeChar"/>
              </w:rPr>
              <w:t>app.py</w:t>
            </w:r>
          </w:p>
        </w:tc>
        <w:tc>
          <w:tcPr>
            <w:tcW w:w="5730" w:type="dxa"/>
          </w:tcPr>
          <w:p w14:paraId="7A0794ED" w14:textId="77777777" w:rsidR="002338AE" w:rsidRDefault="00000000">
            <w:proofErr w:type="spellStart"/>
            <w:r>
              <w:t>Streamlit</w:t>
            </w:r>
            <w:proofErr w:type="spellEnd"/>
            <w:r>
              <w:t xml:space="preserve"> UI: summary card and four tabs</w:t>
            </w:r>
          </w:p>
        </w:tc>
      </w:tr>
    </w:tbl>
    <w:p w14:paraId="051FB15C" w14:textId="77777777" w:rsidR="002338AE" w:rsidRDefault="00000000">
      <w:pPr>
        <w:pStyle w:val="Heading2"/>
      </w:pPr>
      <w:r>
        <w:lastRenderedPageBreak/>
        <w:t>3. Inputs</w:t>
      </w:r>
    </w:p>
    <w:p w14:paraId="2BE3C6AD" w14:textId="77777777" w:rsidR="002338AE" w:rsidRDefault="00000000">
      <w:pPr>
        <w:pStyle w:val="ListParagraph"/>
        <w:numPr>
          <w:ilvl w:val="0"/>
          <w:numId w:val="2"/>
        </w:numPr>
      </w:pPr>
      <w:r>
        <w:rPr>
          <w:b/>
        </w:rPr>
        <w:t>Format:</w:t>
      </w:r>
      <w:r>
        <w:t xml:space="preserve"> one Excel workbook, or a set of CSV files whose names contain </w:t>
      </w:r>
      <w:proofErr w:type="gramStart"/>
      <w:r>
        <w:t>applicant</w:t>
      </w:r>
      <w:proofErr w:type="gramEnd"/>
      <w:r>
        <w:t xml:space="preserve">, proposed, balance, </w:t>
      </w:r>
      <w:proofErr w:type="spellStart"/>
      <w:r>
        <w:t>pnl</w:t>
      </w:r>
      <w:proofErr w:type="spellEnd"/>
      <w:r>
        <w:t>, cash and debt. A filled template can be downloaded from the sidebar.</w:t>
      </w:r>
    </w:p>
    <w:p w14:paraId="5C49B3C9" w14:textId="77777777" w:rsidR="002338AE" w:rsidRDefault="00000000">
      <w:pPr>
        <w:pStyle w:val="ListParagraph"/>
        <w:numPr>
          <w:ilvl w:val="0"/>
          <w:numId w:val="2"/>
        </w:numPr>
      </w:pPr>
      <w:r>
        <w:rPr>
          <w:b/>
        </w:rPr>
        <w:t>Sheets:</w:t>
      </w:r>
      <w:r>
        <w:t xml:space="preserve"> Applicant (including the optional credit bureau score), Proposed, </w:t>
      </w:r>
      <w:proofErr w:type="spellStart"/>
      <w:r>
        <w:t>BalanceSheet</w:t>
      </w:r>
      <w:proofErr w:type="spellEnd"/>
      <w:r>
        <w:t xml:space="preserve">, </w:t>
      </w:r>
      <w:proofErr w:type="spellStart"/>
      <w:r>
        <w:t>PnL</w:t>
      </w:r>
      <w:proofErr w:type="spellEnd"/>
      <w:r>
        <w:t xml:space="preserve">, </w:t>
      </w:r>
      <w:proofErr w:type="spellStart"/>
      <w:r>
        <w:t>CashFlow</w:t>
      </w:r>
      <w:proofErr w:type="spellEnd"/>
      <w:r>
        <w:t xml:space="preserve"> and </w:t>
      </w:r>
      <w:proofErr w:type="spellStart"/>
      <w:r>
        <w:t>ExistingDebt</w:t>
      </w:r>
      <w:proofErr w:type="spellEnd"/>
      <w:r>
        <w:t>. Amounts are in ₹ Crore.</w:t>
      </w:r>
    </w:p>
    <w:p w14:paraId="1283172A" w14:textId="77777777" w:rsidR="002338AE" w:rsidRDefault="00000000">
      <w:pPr>
        <w:pStyle w:val="ListParagraph"/>
        <w:numPr>
          <w:ilvl w:val="0"/>
          <w:numId w:val="2"/>
        </w:numPr>
      </w:pPr>
      <w:r>
        <w:rPr>
          <w:b/>
        </w:rPr>
        <w:t>Validation:</w:t>
      </w:r>
      <w:r>
        <w:t xml:space="preserve"> missing sheets, missing line items, non-numeric values and mismatched fiscal years are reported as errors. Unbalanced balance sheets, a requested amount outside ₹10-50 Cr, and a missing bureau score are reported as warnings.</w:t>
      </w:r>
    </w:p>
    <w:p w14:paraId="4A1C6460" w14:textId="77777777" w:rsidR="002338AE" w:rsidRDefault="00000000">
      <w:pPr>
        <w:pStyle w:val="Heading2"/>
      </w:pPr>
      <w:r>
        <w:t>4. Financial evaluation engine</w:t>
      </w:r>
    </w:p>
    <w:p w14:paraId="3E43809B" w14:textId="77777777" w:rsidR="002338AE" w:rsidRDefault="00000000">
      <w:r>
        <w:t>Ratios are calculated for each of the three years and trended.</w:t>
      </w:r>
    </w:p>
    <w:p w14:paraId="3EA989F5" w14:textId="77777777" w:rsidR="002338AE" w:rsidRDefault="00000000">
      <w:pPr>
        <w:pStyle w:val="ListParagraph"/>
        <w:numPr>
          <w:ilvl w:val="0"/>
          <w:numId w:val="3"/>
        </w:numPr>
      </w:pPr>
      <w:r>
        <w:rPr>
          <w:b/>
        </w:rPr>
        <w:t>Profitability:</w:t>
      </w:r>
      <w:r>
        <w:t xml:space="preserve"> EBITDA margin, operating margin (EBIT / revenue), net margin, ROE, ROCE, ROA. Returns use average balances.</w:t>
      </w:r>
    </w:p>
    <w:p w14:paraId="091E5912" w14:textId="77777777" w:rsidR="002338AE" w:rsidRDefault="00000000">
      <w:pPr>
        <w:pStyle w:val="ListParagraph"/>
        <w:numPr>
          <w:ilvl w:val="0"/>
          <w:numId w:val="3"/>
        </w:numPr>
      </w:pPr>
      <w:r>
        <w:rPr>
          <w:b/>
        </w:rPr>
        <w:t>Liquidity:</w:t>
      </w:r>
      <w:r>
        <w:t xml:space="preserve"> current, quick and cash ratios; debtor, inventory and </w:t>
      </w:r>
      <w:proofErr w:type="gramStart"/>
      <w:r>
        <w:t>creditor</w:t>
      </w:r>
      <w:proofErr w:type="gramEnd"/>
      <w:r>
        <w:t xml:space="preserve"> </w:t>
      </w:r>
      <w:proofErr w:type="gramStart"/>
      <w:r>
        <w:t>days</w:t>
      </w:r>
      <w:proofErr w:type="gramEnd"/>
      <w:r>
        <w:t>; cash conversion cycle.</w:t>
      </w:r>
    </w:p>
    <w:p w14:paraId="6C4BAB94" w14:textId="77777777" w:rsidR="002338AE" w:rsidRDefault="00000000">
      <w:pPr>
        <w:pStyle w:val="ListParagraph"/>
        <w:numPr>
          <w:ilvl w:val="0"/>
          <w:numId w:val="3"/>
        </w:numPr>
      </w:pPr>
      <w:r>
        <w:rPr>
          <w:b/>
        </w:rPr>
        <w:t>Gearing and coverage:</w:t>
      </w:r>
      <w:r>
        <w:t xml:space="preserve"> Debt / tangible net worth, total debt / EBITDA, ICR (EBIT / interest), and DSCR = (EBITDA - Capex - Tax) / (Principal + Interest). A cash-accrual DSCR and total outside liabilities / TNW are shown as supplementary measures.</w:t>
      </w:r>
    </w:p>
    <w:p w14:paraId="2E0234C4" w14:textId="77777777" w:rsidR="002338AE" w:rsidRDefault="00000000">
      <w:pPr>
        <w:pStyle w:val="ListParagraph"/>
        <w:numPr>
          <w:ilvl w:val="0"/>
          <w:numId w:val="3"/>
        </w:numPr>
      </w:pPr>
      <w:r>
        <w:rPr>
          <w:b/>
        </w:rPr>
        <w:t>Definitions:</w:t>
      </w:r>
      <w:r>
        <w:t xml:space="preserve"> EBITDA excludes other income; TNW is net worth less intangibles; total debt is long-term plus short-term borrowings plus current maturities.</w:t>
      </w:r>
    </w:p>
    <w:p w14:paraId="25AF218A" w14:textId="77777777" w:rsidR="002338AE" w:rsidRDefault="00000000">
      <w:pPr>
        <w:pStyle w:val="Heading2"/>
      </w:pPr>
      <w:r>
        <w:t>5. Exposure and pro-forma analysis</w:t>
      </w:r>
    </w:p>
    <w:p w14:paraId="4AA678E8" w14:textId="77777777" w:rsidR="002338AE" w:rsidRDefault="00000000">
      <w:r>
        <w:t xml:space="preserve">Starting debt is the lender-wise outstanding in the debt schedule, which is more current than the balance sheet. The new facility is added, with an optional refinance portion that retires existing debt pro-rata. </w:t>
      </w:r>
      <w:proofErr w:type="gramStart"/>
      <w:r>
        <w:t>Latest</w:t>
      </w:r>
      <w:proofErr w:type="gramEnd"/>
      <w:r>
        <w:t>-year EBITDA and tangible net worth are held flat, and debt service is measured in the first full repayment year after the moratorium. A reconciliation flag compares the debt schedule with audited balance-sheet debt.</w:t>
      </w:r>
    </w:p>
    <w:p w14:paraId="6F794AF3" w14:textId="77777777" w:rsidR="002338AE" w:rsidRDefault="00000000">
      <w:r>
        <w:t>A stress grid tests EBITDA down 10% and 20%, rates up 100 bps, and a combined EBITDA -15% and rates +100 bps case.</w:t>
      </w:r>
    </w:p>
    <w:p w14:paraId="1B3D30FC" w14:textId="77777777" w:rsidR="002338AE" w:rsidRDefault="00000000">
      <w:pPr>
        <w:pStyle w:val="Heading2"/>
      </w:pPr>
      <w:r>
        <w:t>6. Scorecard and composite score</w:t>
      </w:r>
    </w:p>
    <w:p w14:paraId="158CEBD2" w14:textId="77777777" w:rsidR="002338AE" w:rsidRDefault="00000000">
      <w:r>
        <w:t>Each metric is scored 0-100 by linear interpolation between a worst and a best value, then weighted within its pillar, and pillars are weighted into a base score. A trend adjustment is then applied.</w:t>
      </w:r>
    </w:p>
    <w:p w14:paraId="5A3F9A93" w14:textId="77777777" w:rsidR="002338AE" w:rsidRDefault="00000000">
      <w:pPr>
        <w:pStyle w:val="Code"/>
      </w:pPr>
      <w:r>
        <w:t>Base = 0.30 x Profitability + 0.30 x Leverage + 0.20 x Liquidity + 0.20 x Scale &amp; Vintage</w:t>
      </w:r>
      <w:r>
        <w:br/>
        <w:t xml:space="preserve">Composite = </w:t>
      </w:r>
      <w:proofErr w:type="gramStart"/>
      <w:r>
        <w:t>clip(</w:t>
      </w:r>
      <w:proofErr w:type="gramEnd"/>
      <w:r>
        <w:t>Base + Trend adjustment, 0, 100)</w:t>
      </w:r>
    </w:p>
    <w:p w14:paraId="5519D796" w14:textId="77777777" w:rsidR="002338AE" w:rsidRDefault="00000000">
      <w:pPr>
        <w:pStyle w:val="ListParagraph"/>
        <w:numPr>
          <w:ilvl w:val="0"/>
          <w:numId w:val="4"/>
        </w:numPr>
      </w:pPr>
      <w:r>
        <w:rPr>
          <w:b/>
        </w:rPr>
        <w:t>Trend adjustment:</w:t>
      </w:r>
      <w:r>
        <w:t xml:space="preserve"> +3 if revenue rose every year with stable or expanding margin; -3 if revenue and margin are both below the first year; -2 if absolute EBITDA fell more than 15%.</w:t>
      </w:r>
    </w:p>
    <w:p w14:paraId="5B707BB1" w14:textId="77777777" w:rsidR="002338AE" w:rsidRDefault="00000000">
      <w:pPr>
        <w:pStyle w:val="ListParagraph"/>
        <w:numPr>
          <w:ilvl w:val="0"/>
          <w:numId w:val="4"/>
        </w:numPr>
      </w:pPr>
      <w:r>
        <w:rPr>
          <w:b/>
        </w:rPr>
        <w:t>Leverage pillar</w:t>
      </w:r>
      <w:r>
        <w:t xml:space="preserve"> uses post-loan figures.</w:t>
      </w:r>
    </w:p>
    <w:p w14:paraId="05462C37" w14:textId="77777777" w:rsidR="002338AE" w:rsidRDefault="00000000">
      <w:pPr>
        <w:pStyle w:val="ListParagraph"/>
        <w:numPr>
          <w:ilvl w:val="0"/>
          <w:numId w:val="4"/>
        </w:numPr>
      </w:pPr>
      <w:r>
        <w:rPr>
          <w:b/>
        </w:rPr>
        <w:t>Scale &amp; Vintage</w:t>
      </w:r>
      <w:r>
        <w:t xml:space="preserve"> includes revenue, years in operation, tangible net worth and the credit bureau score.</w:t>
      </w:r>
    </w:p>
    <w:p w14:paraId="701AF792" w14:textId="77777777" w:rsidR="002338AE" w:rsidRDefault="00000000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Grades:</w:t>
      </w:r>
      <w:r>
        <w:t xml:space="preserve"> A at 80 or more, B at 65, C at 50, D at 35, otherwise E.</w:t>
      </w:r>
    </w:p>
    <w:p w14:paraId="559881B7" w14:textId="77777777" w:rsidR="002338AE" w:rsidRDefault="00000000">
      <w:pPr>
        <w:pStyle w:val="ListParagraph"/>
        <w:numPr>
          <w:ilvl w:val="0"/>
          <w:numId w:val="4"/>
        </w:numPr>
      </w:pPr>
      <w:r>
        <w:rPr>
          <w:b/>
        </w:rPr>
        <w:t>Overrides:</w:t>
      </w:r>
      <w:r>
        <w:t xml:space="preserve"> negative tangible net worth forces grade E; post-loan DSCR below 1.0x caps the grade at D.</w:t>
      </w:r>
    </w:p>
    <w:p w14:paraId="56B5360D" w14:textId="77777777" w:rsidR="002338AE" w:rsidRDefault="00000000">
      <w:r>
        <w:t xml:space="preserve">All weights and bounds are in </w:t>
      </w:r>
      <w:r>
        <w:rPr>
          <w:rStyle w:val="CodeChar"/>
        </w:rPr>
        <w:t>config.py</w:t>
      </w:r>
      <w:r>
        <w:t xml:space="preserve"> and are illustrative defaults.</w:t>
      </w:r>
    </w:p>
    <w:p w14:paraId="00E77222" w14:textId="77777777" w:rsidR="002338AE" w:rsidRDefault="00000000">
      <w:pPr>
        <w:pStyle w:val="Heading2"/>
      </w:pPr>
      <w:r>
        <w:t>7. Policy guardrails and recommendation logic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110"/>
        <w:gridCol w:w="2005"/>
        <w:gridCol w:w="3245"/>
      </w:tblGrid>
      <w:tr w:rsidR="002338AE" w14:paraId="324F02BE" w14:textId="77777777">
        <w:trPr>
          <w:tblHeader/>
        </w:trPr>
        <w:tc>
          <w:tcPr>
            <w:tcW w:w="4110" w:type="dxa"/>
            <w:shd w:val="clear" w:color="auto" w:fill="F2F2F2"/>
          </w:tcPr>
          <w:p w14:paraId="4A123AEC" w14:textId="77777777" w:rsidR="002338AE" w:rsidRDefault="00000000">
            <w:r>
              <w:t>Guardrail</w:t>
            </w:r>
          </w:p>
        </w:tc>
        <w:tc>
          <w:tcPr>
            <w:tcW w:w="2005" w:type="dxa"/>
            <w:shd w:val="clear" w:color="auto" w:fill="F2F2F2"/>
          </w:tcPr>
          <w:p w14:paraId="386B4EE5" w14:textId="77777777" w:rsidR="002338AE" w:rsidRDefault="00000000">
            <w:r>
              <w:t>Default</w:t>
            </w:r>
          </w:p>
        </w:tc>
        <w:tc>
          <w:tcPr>
            <w:tcW w:w="3245" w:type="dxa"/>
            <w:shd w:val="clear" w:color="auto" w:fill="F2F2F2"/>
          </w:tcPr>
          <w:p w14:paraId="07BE805C" w14:textId="77777777" w:rsidR="002338AE" w:rsidRDefault="00000000">
            <w:r>
              <w:t>Severity</w:t>
            </w:r>
          </w:p>
        </w:tc>
      </w:tr>
      <w:tr w:rsidR="002338AE" w14:paraId="1F52EF68" w14:textId="77777777">
        <w:tc>
          <w:tcPr>
            <w:tcW w:w="4110" w:type="dxa"/>
          </w:tcPr>
          <w:p w14:paraId="1C290B24" w14:textId="77777777" w:rsidR="002338AE" w:rsidRDefault="00000000">
            <w:r>
              <w:t>Post-loan DSCR</w:t>
            </w:r>
          </w:p>
        </w:tc>
        <w:tc>
          <w:tcPr>
            <w:tcW w:w="2005" w:type="dxa"/>
          </w:tcPr>
          <w:p w14:paraId="6D9D2EEE" w14:textId="77777777" w:rsidR="002338AE" w:rsidRDefault="00000000">
            <w:r>
              <w:t>at least 1.35x</w:t>
            </w:r>
          </w:p>
        </w:tc>
        <w:tc>
          <w:tcPr>
            <w:tcW w:w="3245" w:type="dxa"/>
          </w:tcPr>
          <w:p w14:paraId="421E4BE9" w14:textId="77777777" w:rsidR="002338AE" w:rsidRDefault="00000000">
            <w:r>
              <w:t>Hard</w:t>
            </w:r>
          </w:p>
        </w:tc>
      </w:tr>
      <w:tr w:rsidR="002338AE" w14:paraId="769F940A" w14:textId="77777777">
        <w:tc>
          <w:tcPr>
            <w:tcW w:w="4110" w:type="dxa"/>
          </w:tcPr>
          <w:p w14:paraId="4BB72061" w14:textId="77777777" w:rsidR="002338AE" w:rsidRDefault="00000000">
            <w:r>
              <w:t>Post-loan Debt / TNW</w:t>
            </w:r>
          </w:p>
        </w:tc>
        <w:tc>
          <w:tcPr>
            <w:tcW w:w="2005" w:type="dxa"/>
          </w:tcPr>
          <w:p w14:paraId="4B61FA89" w14:textId="77777777" w:rsidR="002338AE" w:rsidRDefault="00000000">
            <w:r>
              <w:t>at most 3.0x</w:t>
            </w:r>
          </w:p>
        </w:tc>
        <w:tc>
          <w:tcPr>
            <w:tcW w:w="3245" w:type="dxa"/>
          </w:tcPr>
          <w:p w14:paraId="08D536AF" w14:textId="77777777" w:rsidR="002338AE" w:rsidRDefault="00000000">
            <w:r>
              <w:t>Hard</w:t>
            </w:r>
          </w:p>
        </w:tc>
      </w:tr>
      <w:tr w:rsidR="002338AE" w14:paraId="4198D786" w14:textId="77777777">
        <w:tc>
          <w:tcPr>
            <w:tcW w:w="4110" w:type="dxa"/>
          </w:tcPr>
          <w:p w14:paraId="62FF33E0" w14:textId="77777777" w:rsidR="002338AE" w:rsidRDefault="00000000">
            <w:r>
              <w:t>Post-loan ICR</w:t>
            </w:r>
          </w:p>
        </w:tc>
        <w:tc>
          <w:tcPr>
            <w:tcW w:w="2005" w:type="dxa"/>
          </w:tcPr>
          <w:p w14:paraId="7375F61C" w14:textId="77777777" w:rsidR="002338AE" w:rsidRDefault="00000000">
            <w:r>
              <w:t>at least 2.0x</w:t>
            </w:r>
          </w:p>
        </w:tc>
        <w:tc>
          <w:tcPr>
            <w:tcW w:w="3245" w:type="dxa"/>
          </w:tcPr>
          <w:p w14:paraId="0F6F72EE" w14:textId="77777777" w:rsidR="002338AE" w:rsidRDefault="00000000">
            <w:r>
              <w:t>Hard</w:t>
            </w:r>
          </w:p>
        </w:tc>
      </w:tr>
      <w:tr w:rsidR="002338AE" w14:paraId="7F301662" w14:textId="77777777">
        <w:tc>
          <w:tcPr>
            <w:tcW w:w="4110" w:type="dxa"/>
          </w:tcPr>
          <w:p w14:paraId="1F90F8F6" w14:textId="77777777" w:rsidR="002338AE" w:rsidRDefault="00000000">
            <w:r>
              <w:t>Post-loan Total debt / EBITDA</w:t>
            </w:r>
          </w:p>
        </w:tc>
        <w:tc>
          <w:tcPr>
            <w:tcW w:w="2005" w:type="dxa"/>
          </w:tcPr>
          <w:p w14:paraId="17ABC192" w14:textId="77777777" w:rsidR="002338AE" w:rsidRDefault="00000000">
            <w:r>
              <w:t>at most 4.5x</w:t>
            </w:r>
          </w:p>
        </w:tc>
        <w:tc>
          <w:tcPr>
            <w:tcW w:w="3245" w:type="dxa"/>
          </w:tcPr>
          <w:p w14:paraId="332DCD77" w14:textId="77777777" w:rsidR="002338AE" w:rsidRDefault="00000000">
            <w:r>
              <w:t>Hard</w:t>
            </w:r>
          </w:p>
        </w:tc>
      </w:tr>
      <w:tr w:rsidR="002338AE" w14:paraId="524D6BF6" w14:textId="77777777">
        <w:tc>
          <w:tcPr>
            <w:tcW w:w="4110" w:type="dxa"/>
          </w:tcPr>
          <w:p w14:paraId="72D7AABB" w14:textId="77777777" w:rsidR="002338AE" w:rsidRDefault="00000000">
            <w:r>
              <w:t>Ticket size</w:t>
            </w:r>
          </w:p>
        </w:tc>
        <w:tc>
          <w:tcPr>
            <w:tcW w:w="2005" w:type="dxa"/>
          </w:tcPr>
          <w:p w14:paraId="56BDAEF5" w14:textId="77777777" w:rsidR="002338AE" w:rsidRDefault="00000000">
            <w:r>
              <w:t>₹10-50 Cr</w:t>
            </w:r>
          </w:p>
        </w:tc>
        <w:tc>
          <w:tcPr>
            <w:tcW w:w="3245" w:type="dxa"/>
          </w:tcPr>
          <w:p w14:paraId="45EDE3EA" w14:textId="77777777" w:rsidR="002338AE" w:rsidRDefault="00000000">
            <w:r>
              <w:t>Hard</w:t>
            </w:r>
          </w:p>
        </w:tc>
      </w:tr>
      <w:tr w:rsidR="002338AE" w14:paraId="725112BF" w14:textId="77777777">
        <w:tc>
          <w:tcPr>
            <w:tcW w:w="4110" w:type="dxa"/>
          </w:tcPr>
          <w:p w14:paraId="7F33A20B" w14:textId="77777777" w:rsidR="002338AE" w:rsidRDefault="00000000">
            <w:r>
              <w:t>Collateral cover</w:t>
            </w:r>
          </w:p>
        </w:tc>
        <w:tc>
          <w:tcPr>
            <w:tcW w:w="2005" w:type="dxa"/>
          </w:tcPr>
          <w:p w14:paraId="7ADC6C7D" w14:textId="77777777" w:rsidR="002338AE" w:rsidRDefault="00000000">
            <w:r>
              <w:t>at least 1.25x</w:t>
            </w:r>
          </w:p>
        </w:tc>
        <w:tc>
          <w:tcPr>
            <w:tcW w:w="3245" w:type="dxa"/>
          </w:tcPr>
          <w:p w14:paraId="753AF835" w14:textId="77777777" w:rsidR="002338AE" w:rsidRDefault="00000000">
            <w:r>
              <w:t>Soft</w:t>
            </w:r>
          </w:p>
        </w:tc>
      </w:tr>
      <w:tr w:rsidR="002338AE" w14:paraId="17E62612" w14:textId="77777777">
        <w:tc>
          <w:tcPr>
            <w:tcW w:w="4110" w:type="dxa"/>
          </w:tcPr>
          <w:p w14:paraId="2B490F37" w14:textId="77777777" w:rsidR="002338AE" w:rsidRDefault="00000000">
            <w:r>
              <w:t>Latest-year historical DSCR and ICR</w:t>
            </w:r>
          </w:p>
        </w:tc>
        <w:tc>
          <w:tcPr>
            <w:tcW w:w="2005" w:type="dxa"/>
          </w:tcPr>
          <w:p w14:paraId="2CD98520" w14:textId="77777777" w:rsidR="002338AE" w:rsidRDefault="00000000">
            <w:r>
              <w:t>same minimums</w:t>
            </w:r>
          </w:p>
        </w:tc>
        <w:tc>
          <w:tcPr>
            <w:tcW w:w="3245" w:type="dxa"/>
          </w:tcPr>
          <w:p w14:paraId="2FD4F5CA" w14:textId="77777777" w:rsidR="002338AE" w:rsidRDefault="00000000">
            <w:r>
              <w:t>Soft</w:t>
            </w:r>
          </w:p>
        </w:tc>
      </w:tr>
      <w:tr w:rsidR="002338AE" w14:paraId="3AD00AE3" w14:textId="77777777">
        <w:tc>
          <w:tcPr>
            <w:tcW w:w="4110" w:type="dxa"/>
          </w:tcPr>
          <w:p w14:paraId="734F324A" w14:textId="77777777" w:rsidR="002338AE" w:rsidRDefault="00000000">
            <w:r>
              <w:t>Credit bureau score</w:t>
            </w:r>
          </w:p>
        </w:tc>
        <w:tc>
          <w:tcPr>
            <w:tcW w:w="2005" w:type="dxa"/>
          </w:tcPr>
          <w:p w14:paraId="4049321A" w14:textId="77777777" w:rsidR="002338AE" w:rsidRDefault="00000000">
            <w:r>
              <w:t>at least 700</w:t>
            </w:r>
          </w:p>
        </w:tc>
        <w:tc>
          <w:tcPr>
            <w:tcW w:w="3245" w:type="dxa"/>
          </w:tcPr>
          <w:p w14:paraId="5313D49A" w14:textId="77777777" w:rsidR="002338AE" w:rsidRDefault="00000000">
            <w:r>
              <w:t>Soft (skipped if not supplied)</w:t>
            </w:r>
          </w:p>
        </w:tc>
      </w:tr>
    </w:tbl>
    <w:p w14:paraId="5A3E725E" w14:textId="77777777" w:rsidR="002338AE" w:rsidRDefault="00000000">
      <w:r>
        <w:rPr>
          <w:b/>
        </w:rPr>
        <w:t>Decision rules:</w:t>
      </w:r>
    </w:p>
    <w:p w14:paraId="28B65A10" w14:textId="77777777" w:rsidR="002338AE" w:rsidRDefault="00000000">
      <w:pPr>
        <w:pStyle w:val="ListParagraph"/>
        <w:numPr>
          <w:ilvl w:val="0"/>
          <w:numId w:val="5"/>
        </w:numPr>
      </w:pPr>
      <w:r>
        <w:rPr>
          <w:b/>
        </w:rPr>
        <w:t>Decline:</w:t>
      </w:r>
      <w:r>
        <w:t xml:space="preserve"> grade E, a critical breach (DSCR below 1.0x or negative TNW), or grade D with two or more hard breaches.</w:t>
      </w:r>
    </w:p>
    <w:p w14:paraId="76A9F073" w14:textId="77777777" w:rsidR="002338AE" w:rsidRDefault="00000000">
      <w:pPr>
        <w:pStyle w:val="ListParagraph"/>
        <w:numPr>
          <w:ilvl w:val="0"/>
          <w:numId w:val="5"/>
        </w:numPr>
      </w:pPr>
      <w:r>
        <w:rPr>
          <w:b/>
        </w:rPr>
        <w:t>Approve with covenants:</w:t>
      </w:r>
      <w:r>
        <w:t xml:space="preserve"> no hard breach and grade A or B.</w:t>
      </w:r>
    </w:p>
    <w:p w14:paraId="707A6768" w14:textId="77777777" w:rsidR="002338AE" w:rsidRDefault="00000000">
      <w:pPr>
        <w:pStyle w:val="ListParagraph"/>
        <w:numPr>
          <w:ilvl w:val="0"/>
          <w:numId w:val="5"/>
        </w:numPr>
      </w:pPr>
      <w:r>
        <w:rPr>
          <w:b/>
        </w:rPr>
        <w:t>Refer to Credit Committee:</w:t>
      </w:r>
      <w:r>
        <w:t xml:space="preserve"> everything else.</w:t>
      </w:r>
    </w:p>
    <w:p w14:paraId="22DDF5E5" w14:textId="77777777" w:rsidR="002338AE" w:rsidRDefault="00000000">
      <w:r>
        <w:t>Covenant tightness scales with grade: DSRA of 3 or 6 months of facility debt service, collateral cover of 1.25x to 2.0x, tighter leverage and DSCR covenants, dividend restrictions, cash sweep and escrow for weaker grades, plus an indicative drawing-power check and monitoring triggers.</w:t>
      </w:r>
    </w:p>
    <w:p w14:paraId="382F286F" w14:textId="77777777" w:rsidR="002338AE" w:rsidRDefault="00000000">
      <w:pPr>
        <w:pStyle w:val="Heading2"/>
      </w:pPr>
      <w:r>
        <w:t>8. Dashboard</w:t>
      </w:r>
    </w:p>
    <w:p w14:paraId="042F06CA" w14:textId="77777777" w:rsidR="002338AE" w:rsidRDefault="00000000">
      <w:pPr>
        <w:pStyle w:val="ListParagraph"/>
        <w:numPr>
          <w:ilvl w:val="0"/>
          <w:numId w:val="6"/>
        </w:numPr>
      </w:pPr>
      <w:r>
        <w:rPr>
          <w:b/>
        </w:rPr>
        <w:t>Executive summary card:</w:t>
      </w:r>
      <w:r>
        <w:t xml:space="preserve"> applicant, requested amount, debt now versus post-loan, risk grade with bureau score, and recommendation badge.</w:t>
      </w:r>
    </w:p>
    <w:p w14:paraId="1B242C68" w14:textId="77777777" w:rsidR="002338AE" w:rsidRDefault="00000000">
      <w:pPr>
        <w:pStyle w:val="ListParagraph"/>
        <w:numPr>
          <w:ilvl w:val="0"/>
          <w:numId w:val="6"/>
        </w:numPr>
      </w:pPr>
      <w:r>
        <w:rPr>
          <w:b/>
        </w:rPr>
        <w:t xml:space="preserve">Tab 1, Financial </w:t>
      </w:r>
      <w:proofErr w:type="gramStart"/>
      <w:r>
        <w:rPr>
          <w:b/>
        </w:rPr>
        <w:t>overview</w:t>
      </w:r>
      <w:proofErr w:type="gramEnd"/>
      <w:r>
        <w:rPr>
          <w:b/>
        </w:rPr>
        <w:t>:</w:t>
      </w:r>
      <w:r>
        <w:t xml:space="preserve"> KPI row (including credit bureau score) and trend charts for revenue and profit, margins, returns, leverage and coverage with policy lines, working capital and cash flow.</w:t>
      </w:r>
    </w:p>
    <w:p w14:paraId="55C84E06" w14:textId="77777777" w:rsidR="002338AE" w:rsidRDefault="00000000">
      <w:pPr>
        <w:pStyle w:val="ListParagraph"/>
        <w:numPr>
          <w:ilvl w:val="0"/>
          <w:numId w:val="6"/>
        </w:numPr>
      </w:pPr>
      <w:r>
        <w:rPr>
          <w:b/>
        </w:rPr>
        <w:t>Tab 2, Ratio analysis:</w:t>
      </w:r>
      <w:r>
        <w:t xml:space="preserve"> </w:t>
      </w:r>
      <w:proofErr w:type="spellStart"/>
      <w:r>
        <w:t>colour</w:t>
      </w:r>
      <w:proofErr w:type="spellEnd"/>
      <w:r>
        <w:t>-coded table of 19 ratios with 3-year movement and the green and red rule for each.</w:t>
      </w:r>
    </w:p>
    <w:p w14:paraId="00661785" w14:textId="77777777" w:rsidR="002338AE" w:rsidRDefault="00000000">
      <w:pPr>
        <w:pStyle w:val="ListParagraph"/>
        <w:numPr>
          <w:ilvl w:val="0"/>
          <w:numId w:val="6"/>
        </w:numPr>
      </w:pPr>
      <w:r>
        <w:rPr>
          <w:b/>
        </w:rPr>
        <w:t>Tab 3, Debt and exposure:</w:t>
      </w:r>
      <w:r>
        <w:t xml:space="preserve"> lender table, concentration charts, current versus post-loan comparison, repayment profile and stress test.</w:t>
      </w:r>
    </w:p>
    <w:p w14:paraId="67A10CE6" w14:textId="77777777" w:rsidR="002338AE" w:rsidRDefault="00000000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>Tab 4, Appraisal memo:</w:t>
      </w:r>
      <w:r>
        <w:t xml:space="preserve"> recommendation, score gauge and pillar chart, policy compliance table, strengths and risks, covenants, conditions precedent, monitoring triggers and a downloadable Markdown memo.</w:t>
      </w:r>
    </w:p>
    <w:p w14:paraId="2878CD9E" w14:textId="77777777" w:rsidR="002338AE" w:rsidRDefault="00000000">
      <w:pPr>
        <w:pStyle w:val="ListParagraph"/>
        <w:numPr>
          <w:ilvl w:val="0"/>
          <w:numId w:val="6"/>
        </w:numPr>
      </w:pPr>
      <w:r>
        <w:rPr>
          <w:b/>
        </w:rPr>
        <w:t>Sidebar:</w:t>
      </w:r>
      <w:r>
        <w:t xml:space="preserve"> data source, what-if inputs for amount, tenure, rate, moratorium, collateral and refinance, bureau score entry, and editable policy guardrails.</w:t>
      </w:r>
    </w:p>
    <w:p w14:paraId="3D74E424" w14:textId="77777777" w:rsidR="002338AE" w:rsidRDefault="00000000">
      <w:pPr>
        <w:pStyle w:val="Heading2"/>
      </w:pPr>
      <w:r>
        <w:t>9. Sample results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92"/>
        <w:gridCol w:w="948"/>
        <w:gridCol w:w="1064"/>
        <w:gridCol w:w="1351"/>
        <w:gridCol w:w="829"/>
        <w:gridCol w:w="2175"/>
      </w:tblGrid>
      <w:tr w:rsidR="002338AE" w14:paraId="6F25B73E" w14:textId="77777777">
        <w:trPr>
          <w:tblHeader/>
        </w:trPr>
        <w:tc>
          <w:tcPr>
            <w:tcW w:w="2992" w:type="dxa"/>
            <w:shd w:val="clear" w:color="auto" w:fill="F2F2F2"/>
          </w:tcPr>
          <w:p w14:paraId="48610654" w14:textId="77777777" w:rsidR="002338AE" w:rsidRDefault="00000000">
            <w:r>
              <w:t>Sample</w:t>
            </w:r>
          </w:p>
        </w:tc>
        <w:tc>
          <w:tcPr>
            <w:tcW w:w="948" w:type="dxa"/>
            <w:shd w:val="clear" w:color="auto" w:fill="F2F2F2"/>
          </w:tcPr>
          <w:p w14:paraId="4D3CA8C5" w14:textId="77777777" w:rsidR="002338AE" w:rsidRDefault="00000000">
            <w:r>
              <w:t>Bureau score</w:t>
            </w:r>
          </w:p>
        </w:tc>
        <w:tc>
          <w:tcPr>
            <w:tcW w:w="1064" w:type="dxa"/>
            <w:shd w:val="clear" w:color="auto" w:fill="F2F2F2"/>
          </w:tcPr>
          <w:p w14:paraId="2B2368C1" w14:textId="77777777" w:rsidR="002338AE" w:rsidRDefault="00000000">
            <w:r>
              <w:t>Post-loan DSCR</w:t>
            </w:r>
          </w:p>
        </w:tc>
        <w:tc>
          <w:tcPr>
            <w:tcW w:w="1351" w:type="dxa"/>
            <w:shd w:val="clear" w:color="auto" w:fill="F2F2F2"/>
          </w:tcPr>
          <w:p w14:paraId="08769021" w14:textId="77777777" w:rsidR="002338AE" w:rsidRDefault="00000000">
            <w:r>
              <w:t>Composite</w:t>
            </w:r>
          </w:p>
        </w:tc>
        <w:tc>
          <w:tcPr>
            <w:tcW w:w="829" w:type="dxa"/>
            <w:shd w:val="clear" w:color="auto" w:fill="F2F2F2"/>
          </w:tcPr>
          <w:p w14:paraId="4783F790" w14:textId="77777777" w:rsidR="002338AE" w:rsidRDefault="00000000">
            <w:r>
              <w:t>Grade</w:t>
            </w:r>
          </w:p>
        </w:tc>
        <w:tc>
          <w:tcPr>
            <w:tcW w:w="2175" w:type="dxa"/>
            <w:shd w:val="clear" w:color="auto" w:fill="F2F2F2"/>
          </w:tcPr>
          <w:p w14:paraId="2CBD2448" w14:textId="77777777" w:rsidR="002338AE" w:rsidRDefault="00000000">
            <w:r>
              <w:t>Recommendation</w:t>
            </w:r>
          </w:p>
        </w:tc>
      </w:tr>
      <w:tr w:rsidR="002338AE" w14:paraId="71F99EFB" w14:textId="77777777">
        <w:tc>
          <w:tcPr>
            <w:tcW w:w="2992" w:type="dxa"/>
          </w:tcPr>
          <w:p w14:paraId="14F3C49B" w14:textId="77777777" w:rsidR="002338AE" w:rsidRDefault="00000000">
            <w:r>
              <w:t>Aarav Precision Components (strong)</w:t>
            </w:r>
          </w:p>
        </w:tc>
        <w:tc>
          <w:tcPr>
            <w:tcW w:w="948" w:type="dxa"/>
          </w:tcPr>
          <w:p w14:paraId="66CA242E" w14:textId="77777777" w:rsidR="002338AE" w:rsidRDefault="00000000">
            <w:r>
              <w:t>782</w:t>
            </w:r>
          </w:p>
        </w:tc>
        <w:tc>
          <w:tcPr>
            <w:tcW w:w="1064" w:type="dxa"/>
          </w:tcPr>
          <w:p w14:paraId="73DAE98D" w14:textId="77777777" w:rsidR="002338AE" w:rsidRDefault="00000000">
            <w:r>
              <w:t>1.48x</w:t>
            </w:r>
          </w:p>
        </w:tc>
        <w:tc>
          <w:tcPr>
            <w:tcW w:w="1351" w:type="dxa"/>
          </w:tcPr>
          <w:p w14:paraId="303EB531" w14:textId="77777777" w:rsidR="002338AE" w:rsidRDefault="00000000">
            <w:r>
              <w:t>89.7</w:t>
            </w:r>
          </w:p>
        </w:tc>
        <w:tc>
          <w:tcPr>
            <w:tcW w:w="829" w:type="dxa"/>
          </w:tcPr>
          <w:p w14:paraId="70B9F316" w14:textId="77777777" w:rsidR="002338AE" w:rsidRDefault="00000000">
            <w:r>
              <w:t>A</w:t>
            </w:r>
          </w:p>
        </w:tc>
        <w:tc>
          <w:tcPr>
            <w:tcW w:w="2175" w:type="dxa"/>
          </w:tcPr>
          <w:p w14:paraId="28AF8E7A" w14:textId="77777777" w:rsidR="002338AE" w:rsidRDefault="00000000">
            <w:r>
              <w:t>Approve with covenants</w:t>
            </w:r>
          </w:p>
        </w:tc>
      </w:tr>
      <w:tr w:rsidR="002338AE" w14:paraId="74FA7F6B" w14:textId="77777777">
        <w:tc>
          <w:tcPr>
            <w:tcW w:w="2992" w:type="dxa"/>
          </w:tcPr>
          <w:p w14:paraId="1054FA06" w14:textId="77777777" w:rsidR="002338AE" w:rsidRDefault="00000000">
            <w:r>
              <w:t xml:space="preserve">Bharat </w:t>
            </w:r>
            <w:proofErr w:type="spellStart"/>
            <w:r>
              <w:t>Agro</w:t>
            </w:r>
            <w:proofErr w:type="spellEnd"/>
            <w:r>
              <w:t xml:space="preserve"> Foods (moderate)</w:t>
            </w:r>
          </w:p>
        </w:tc>
        <w:tc>
          <w:tcPr>
            <w:tcW w:w="948" w:type="dxa"/>
          </w:tcPr>
          <w:p w14:paraId="27086EF4" w14:textId="77777777" w:rsidR="002338AE" w:rsidRDefault="00000000">
            <w:r>
              <w:t>712</w:t>
            </w:r>
          </w:p>
        </w:tc>
        <w:tc>
          <w:tcPr>
            <w:tcW w:w="1064" w:type="dxa"/>
          </w:tcPr>
          <w:p w14:paraId="09955804" w14:textId="77777777" w:rsidR="002338AE" w:rsidRDefault="00000000">
            <w:r>
              <w:t>1.12x</w:t>
            </w:r>
          </w:p>
        </w:tc>
        <w:tc>
          <w:tcPr>
            <w:tcW w:w="1351" w:type="dxa"/>
          </w:tcPr>
          <w:p w14:paraId="415E4EF8" w14:textId="77777777" w:rsidR="002338AE" w:rsidRDefault="00000000">
            <w:r>
              <w:t>62.7</w:t>
            </w:r>
          </w:p>
        </w:tc>
        <w:tc>
          <w:tcPr>
            <w:tcW w:w="829" w:type="dxa"/>
          </w:tcPr>
          <w:p w14:paraId="5A085ECD" w14:textId="77777777" w:rsidR="002338AE" w:rsidRDefault="00000000">
            <w:r>
              <w:t>C</w:t>
            </w:r>
          </w:p>
        </w:tc>
        <w:tc>
          <w:tcPr>
            <w:tcW w:w="2175" w:type="dxa"/>
          </w:tcPr>
          <w:p w14:paraId="0E29CF18" w14:textId="77777777" w:rsidR="002338AE" w:rsidRDefault="00000000">
            <w:r>
              <w:t>Refer to Credit Committee</w:t>
            </w:r>
          </w:p>
        </w:tc>
      </w:tr>
      <w:tr w:rsidR="002338AE" w14:paraId="04525430" w14:textId="77777777">
        <w:tc>
          <w:tcPr>
            <w:tcW w:w="2992" w:type="dxa"/>
          </w:tcPr>
          <w:p w14:paraId="48F71273" w14:textId="77777777" w:rsidR="002338AE" w:rsidRDefault="00000000">
            <w:r>
              <w:t>Coastal Textile Mills (stressed)</w:t>
            </w:r>
          </w:p>
        </w:tc>
        <w:tc>
          <w:tcPr>
            <w:tcW w:w="948" w:type="dxa"/>
          </w:tcPr>
          <w:p w14:paraId="498B92E1" w14:textId="77777777" w:rsidR="002338AE" w:rsidRDefault="00000000">
            <w:r>
              <w:t>598</w:t>
            </w:r>
          </w:p>
        </w:tc>
        <w:tc>
          <w:tcPr>
            <w:tcW w:w="1064" w:type="dxa"/>
          </w:tcPr>
          <w:p w14:paraId="0A8E980F" w14:textId="77777777" w:rsidR="002338AE" w:rsidRDefault="00000000">
            <w:r>
              <w:t>0.01x</w:t>
            </w:r>
          </w:p>
        </w:tc>
        <w:tc>
          <w:tcPr>
            <w:tcW w:w="1351" w:type="dxa"/>
          </w:tcPr>
          <w:p w14:paraId="1B6C3485" w14:textId="77777777" w:rsidR="002338AE" w:rsidRDefault="00000000">
            <w:r>
              <w:t>15.2</w:t>
            </w:r>
          </w:p>
        </w:tc>
        <w:tc>
          <w:tcPr>
            <w:tcW w:w="829" w:type="dxa"/>
          </w:tcPr>
          <w:p w14:paraId="21278738" w14:textId="77777777" w:rsidR="002338AE" w:rsidRDefault="00000000">
            <w:r>
              <w:t>E</w:t>
            </w:r>
          </w:p>
        </w:tc>
        <w:tc>
          <w:tcPr>
            <w:tcW w:w="2175" w:type="dxa"/>
          </w:tcPr>
          <w:p w14:paraId="047B2BF7" w14:textId="77777777" w:rsidR="002338AE" w:rsidRDefault="00000000">
            <w:r>
              <w:t>Decline</w:t>
            </w:r>
          </w:p>
        </w:tc>
      </w:tr>
    </w:tbl>
    <w:p w14:paraId="6574646A" w14:textId="77777777" w:rsidR="002338AE" w:rsidRDefault="00000000">
      <w:pPr>
        <w:pStyle w:val="Heading2"/>
      </w:pPr>
      <w:r>
        <w:t>10. Change and query log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2338AE" w14:paraId="6E654C01" w14:textId="77777777">
        <w:trPr>
          <w:tblHeader/>
        </w:trPr>
        <w:tc>
          <w:tcPr>
            <w:tcW w:w="4440" w:type="dxa"/>
            <w:shd w:val="clear" w:color="auto" w:fill="F2F2F2"/>
          </w:tcPr>
          <w:p w14:paraId="3D3D3271" w14:textId="77777777" w:rsidR="002338AE" w:rsidRDefault="00000000">
            <w:r>
              <w:t>Request or issue</w:t>
            </w:r>
          </w:p>
        </w:tc>
        <w:tc>
          <w:tcPr>
            <w:tcW w:w="4920" w:type="dxa"/>
            <w:shd w:val="clear" w:color="auto" w:fill="F2F2F2"/>
          </w:tcPr>
          <w:p w14:paraId="6FC4DD28" w14:textId="77777777" w:rsidR="002338AE" w:rsidRDefault="00000000">
            <w:r>
              <w:t>Resolution</w:t>
            </w:r>
          </w:p>
        </w:tc>
      </w:tr>
      <w:tr w:rsidR="002338AE" w14:paraId="4A273DB3" w14:textId="77777777">
        <w:tc>
          <w:tcPr>
            <w:tcW w:w="4440" w:type="dxa"/>
          </w:tcPr>
          <w:p w14:paraId="3F21A199" w14:textId="77777777" w:rsidR="002338AE" w:rsidRDefault="00000000">
            <w:r>
              <w:t>Build the full modular application</w:t>
            </w:r>
          </w:p>
        </w:tc>
        <w:tc>
          <w:tcPr>
            <w:tcW w:w="4920" w:type="dxa"/>
          </w:tcPr>
          <w:p w14:paraId="08413F54" w14:textId="77777777" w:rsidR="002338AE" w:rsidRDefault="00000000">
            <w:r>
              <w:t xml:space="preserve">Delivered as a nine-file Python project with README, requirements and </w:t>
            </w:r>
            <w:proofErr w:type="spellStart"/>
            <w:r>
              <w:t>Streamlit</w:t>
            </w:r>
            <w:proofErr w:type="spellEnd"/>
            <w:r>
              <w:t xml:space="preserve"> theme</w:t>
            </w:r>
          </w:p>
        </w:tc>
      </w:tr>
      <w:tr w:rsidR="002338AE" w14:paraId="40EB69C7" w14:textId="77777777">
        <w:tc>
          <w:tcPr>
            <w:tcW w:w="4440" w:type="dxa"/>
          </w:tcPr>
          <w:p w14:paraId="5E76E11B" w14:textId="77777777" w:rsidR="002338AE" w:rsidRDefault="00000000">
            <w:r>
              <w:t xml:space="preserve">DSCR with actual capex </w:t>
            </w:r>
            <w:proofErr w:type="spellStart"/>
            <w:r>
              <w:t>penalised</w:t>
            </w:r>
            <w:proofErr w:type="spellEnd"/>
            <w:r>
              <w:t xml:space="preserve"> growth companies</w:t>
            </w:r>
          </w:p>
        </w:tc>
        <w:tc>
          <w:tcPr>
            <w:tcW w:w="4920" w:type="dxa"/>
          </w:tcPr>
          <w:p w14:paraId="11A6A3ED" w14:textId="77777777" w:rsidR="002338AE" w:rsidRDefault="00000000">
            <w:r>
              <w:t>Historical DSCR keeps actual capex per the policy formula; post-loan DSCR uses maintenance capex (depreciation) because growth capex is assumed funded by the new loan. With actual capex the strong sample would drop to about 1.04x</w:t>
            </w:r>
          </w:p>
        </w:tc>
      </w:tr>
      <w:tr w:rsidR="002338AE" w14:paraId="3D3E2F7F" w14:textId="77777777">
        <w:tc>
          <w:tcPr>
            <w:tcW w:w="4440" w:type="dxa"/>
          </w:tcPr>
          <w:p w14:paraId="2245D75A" w14:textId="77777777" w:rsidR="002338AE" w:rsidRDefault="00000000">
            <w:r>
              <w:t>Sample calibration</w:t>
            </w:r>
          </w:p>
        </w:tc>
        <w:tc>
          <w:tcPr>
            <w:tcW w:w="4920" w:type="dxa"/>
          </w:tcPr>
          <w:p w14:paraId="6C636C49" w14:textId="77777777" w:rsidR="002338AE" w:rsidRDefault="00000000">
            <w:r>
              <w:t>Moderate and stressed profiles tuned so the three samples demonstrate Approve, Refer and Decline</w:t>
            </w:r>
          </w:p>
        </w:tc>
      </w:tr>
      <w:tr w:rsidR="002338AE" w14:paraId="1DD73AB8" w14:textId="77777777">
        <w:tc>
          <w:tcPr>
            <w:tcW w:w="4440" w:type="dxa"/>
          </w:tcPr>
          <w:p w14:paraId="15B0E219" w14:textId="77777777" w:rsidR="002338AE" w:rsidRDefault="00000000">
            <w:proofErr w:type="spellStart"/>
            <w:r>
              <w:t>Streamlit</w:t>
            </w:r>
            <w:proofErr w:type="spellEnd"/>
            <w:r>
              <w:t xml:space="preserve"> version differences</w:t>
            </w:r>
          </w:p>
        </w:tc>
        <w:tc>
          <w:tcPr>
            <w:tcW w:w="4920" w:type="dxa"/>
          </w:tcPr>
          <w:p w14:paraId="3DDE8D15" w14:textId="77777777" w:rsidR="002338AE" w:rsidRDefault="00000000">
            <w:proofErr w:type="gramStart"/>
            <w:r>
              <w:t>Full-width</w:t>
            </w:r>
            <w:proofErr w:type="gramEnd"/>
            <w:r>
              <w:t xml:space="preserve"> rendering helper works on older and newer </w:t>
            </w:r>
            <w:proofErr w:type="spellStart"/>
            <w:r>
              <w:t>Streamlit</w:t>
            </w:r>
            <w:proofErr w:type="spellEnd"/>
            <w:r>
              <w:t xml:space="preserve"> releases</w:t>
            </w:r>
          </w:p>
        </w:tc>
      </w:tr>
      <w:tr w:rsidR="002338AE" w14:paraId="1D587C08" w14:textId="77777777">
        <w:tc>
          <w:tcPr>
            <w:tcW w:w="4440" w:type="dxa"/>
          </w:tcPr>
          <w:p w14:paraId="64F46162" w14:textId="77777777" w:rsidR="002338AE" w:rsidRDefault="00000000">
            <w:r>
              <w:t>How to run the program</w:t>
            </w:r>
          </w:p>
        </w:tc>
        <w:tc>
          <w:tcPr>
            <w:tcW w:w="4920" w:type="dxa"/>
          </w:tcPr>
          <w:p w14:paraId="0E48E3D1" w14:textId="77777777" w:rsidR="002338AE" w:rsidRDefault="00000000">
            <w:r>
              <w:t xml:space="preserve">Steps given: Python 3.10+, virtual environment, </w:t>
            </w:r>
            <w:r>
              <w:rPr>
                <w:rStyle w:val="CodeChar"/>
              </w:rPr>
              <w:t>pip install -r requirements.txt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streamlit</w:t>
            </w:r>
            <w:proofErr w:type="spellEnd"/>
            <w:r>
              <w:rPr>
                <w:rStyle w:val="CodeChar"/>
              </w:rPr>
              <w:t xml:space="preserve"> run app.py</w:t>
            </w:r>
            <w:r>
              <w:t>, plus troubleshooting</w:t>
            </w:r>
          </w:p>
        </w:tc>
      </w:tr>
      <w:tr w:rsidR="002338AE" w14:paraId="567F9099" w14:textId="77777777">
        <w:tc>
          <w:tcPr>
            <w:tcW w:w="4440" w:type="dxa"/>
          </w:tcPr>
          <w:p w14:paraId="669AEDBC" w14:textId="77777777" w:rsidR="002338AE" w:rsidRDefault="00000000">
            <w:r>
              <w:t>Add credit score to the metrics</w:t>
            </w:r>
          </w:p>
        </w:tc>
        <w:tc>
          <w:tcPr>
            <w:tcW w:w="4920" w:type="dxa"/>
          </w:tcPr>
          <w:p w14:paraId="609F334A" w14:textId="77777777" w:rsidR="002338AE" w:rsidRDefault="00000000">
            <w:r>
              <w:t>Added an optional 300-900 bureau score as an input, dashboard metric, scorecard component, soft policy check at 700 and memo content. Blank scores are skipped safely</w:t>
            </w:r>
          </w:p>
        </w:tc>
      </w:tr>
      <w:tr w:rsidR="002338AE" w14:paraId="3CA61D9B" w14:textId="77777777">
        <w:tc>
          <w:tcPr>
            <w:tcW w:w="4440" w:type="dxa"/>
          </w:tcPr>
          <w:p w14:paraId="76DB1AF1" w14:textId="77777777" w:rsidR="002338AE" w:rsidRDefault="00000000">
            <w:r>
              <w:t>Create a Claude Doc from the last answer</w:t>
            </w:r>
          </w:p>
        </w:tc>
        <w:tc>
          <w:tcPr>
            <w:tcW w:w="4920" w:type="dxa"/>
          </w:tcPr>
          <w:p w14:paraId="4EA575D4" w14:textId="77777777" w:rsidR="002338AE" w:rsidRDefault="00000000">
            <w:r>
              <w:t>Doc created covering the bureau score change</w:t>
            </w:r>
          </w:p>
        </w:tc>
      </w:tr>
      <w:tr w:rsidR="002338AE" w14:paraId="70DE8CCB" w14:textId="77777777">
        <w:tc>
          <w:tcPr>
            <w:tcW w:w="4440" w:type="dxa"/>
          </w:tcPr>
          <w:p w14:paraId="4BCAAA1C" w14:textId="77777777" w:rsidR="002338AE" w:rsidRDefault="00000000">
            <w:r>
              <w:lastRenderedPageBreak/>
              <w:t>Formula for the internal composite score</w:t>
            </w:r>
          </w:p>
        </w:tc>
        <w:tc>
          <w:tcPr>
            <w:tcW w:w="4920" w:type="dxa"/>
          </w:tcPr>
          <w:p w14:paraId="38ECD61B" w14:textId="77777777" w:rsidR="002338AE" w:rsidRDefault="00000000">
            <w:r>
              <w:t>Explained in section 6 of this document</w:t>
            </w:r>
          </w:p>
        </w:tc>
      </w:tr>
      <w:tr w:rsidR="002338AE" w14:paraId="36496FDF" w14:textId="77777777">
        <w:tc>
          <w:tcPr>
            <w:tcW w:w="4440" w:type="dxa"/>
          </w:tcPr>
          <w:p w14:paraId="24CC306C" w14:textId="77777777" w:rsidR="002338AE" w:rsidRDefault="00000000">
            <w:r>
              <w:t>Project summary and video demonstration</w:t>
            </w:r>
          </w:p>
        </w:tc>
        <w:tc>
          <w:tcPr>
            <w:tcW w:w="4920" w:type="dxa"/>
          </w:tcPr>
          <w:p w14:paraId="486A6FA2" w14:textId="77777777" w:rsidR="002338AE" w:rsidRDefault="00000000">
            <w:r>
              <w:t xml:space="preserve">This </w:t>
            </w:r>
            <w:proofErr w:type="gramStart"/>
            <w:r>
              <w:t>document;</w:t>
            </w:r>
            <w:proofErr w:type="gramEnd"/>
            <w:r>
              <w:t xml:space="preserve"> a real screen recording could not be produced in the build environment, so a demo script is provided below</w:t>
            </w:r>
          </w:p>
        </w:tc>
      </w:tr>
    </w:tbl>
    <w:p w14:paraId="3A558592" w14:textId="77777777" w:rsidR="002338AE" w:rsidRDefault="00000000">
      <w:pPr>
        <w:pStyle w:val="Heading2"/>
      </w:pPr>
      <w:r>
        <w:t>11. Assumptions and limitations</w:t>
      </w:r>
    </w:p>
    <w:p w14:paraId="7DF1F76B" w14:textId="77777777" w:rsidR="002338AE" w:rsidRDefault="00000000">
      <w:pPr>
        <w:pStyle w:val="ListParagraph"/>
        <w:numPr>
          <w:ilvl w:val="0"/>
          <w:numId w:val="7"/>
        </w:numPr>
      </w:pPr>
      <w:r>
        <w:t>All thresholds, weights, grade bands and covenant tiers are illustrative and should be calibrated to the Board-approved credit policy before real use.</w:t>
      </w:r>
    </w:p>
    <w:p w14:paraId="46ADCBB7" w14:textId="77777777" w:rsidR="002338AE" w:rsidRDefault="00000000">
      <w:pPr>
        <w:pStyle w:val="ListParagraph"/>
        <w:numPr>
          <w:ilvl w:val="0"/>
          <w:numId w:val="7"/>
        </w:numPr>
      </w:pPr>
      <w:r>
        <w:t>Post-loan metrics hold EBITDA and net worth flat and give no credit for projected growth or loan proceeds.</w:t>
      </w:r>
    </w:p>
    <w:p w14:paraId="146D1176" w14:textId="77777777" w:rsidR="002338AE" w:rsidRDefault="00000000">
      <w:pPr>
        <w:pStyle w:val="ListParagraph"/>
        <w:numPr>
          <w:ilvl w:val="0"/>
          <w:numId w:val="7"/>
        </w:numPr>
      </w:pPr>
      <w:r>
        <w:t xml:space="preserve">The existing book is assumed </w:t>
      </w:r>
      <w:proofErr w:type="gramStart"/>
      <w:r>
        <w:t>floating</w:t>
      </w:r>
      <w:proofErr w:type="gramEnd"/>
      <w:r>
        <w:t xml:space="preserve"> for the rate shock.</w:t>
      </w:r>
    </w:p>
    <w:p w14:paraId="37439783" w14:textId="77777777" w:rsidR="002338AE" w:rsidRDefault="00000000">
      <w:pPr>
        <w:pStyle w:val="ListParagraph"/>
        <w:numPr>
          <w:ilvl w:val="0"/>
          <w:numId w:val="7"/>
        </w:numPr>
      </w:pPr>
      <w:r>
        <w:t>The bureau score is assumed to be on a 300-900 scale. A CMR rank (1-10, where 1 is best) would need the bounds and policy check inverted.</w:t>
      </w:r>
    </w:p>
    <w:p w14:paraId="3718468C" w14:textId="77777777" w:rsidR="002338AE" w:rsidRDefault="00000000">
      <w:pPr>
        <w:pStyle w:val="ListParagraph"/>
        <w:numPr>
          <w:ilvl w:val="0"/>
          <w:numId w:val="7"/>
        </w:numPr>
      </w:pPr>
      <w:r>
        <w:t>Output is decision support. It does not replace the credit officer's judgement, KYC and CIBIL checks, site visit or legal due diligence.</w:t>
      </w:r>
    </w:p>
    <w:sectPr w:rsidR="002338A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017B"/>
    <w:multiLevelType w:val="hybridMultilevel"/>
    <w:tmpl w:val="26C0F92E"/>
    <w:lvl w:ilvl="0" w:tplc="DFF2E500">
      <w:start w:val="1"/>
      <w:numFmt w:val="bullet"/>
      <w:lvlText w:val="•"/>
      <w:lvlJc w:val="left"/>
      <w:pPr>
        <w:ind w:left="720" w:hanging="360"/>
      </w:pPr>
    </w:lvl>
    <w:lvl w:ilvl="1" w:tplc="D966B772">
      <w:start w:val="1"/>
      <w:numFmt w:val="bullet"/>
      <w:lvlText w:val="o"/>
      <w:lvlJc w:val="left"/>
      <w:pPr>
        <w:ind w:left="1440" w:hanging="360"/>
      </w:pPr>
    </w:lvl>
    <w:lvl w:ilvl="2" w:tplc="0546C020">
      <w:start w:val="1"/>
      <w:numFmt w:val="bullet"/>
      <w:lvlText w:val="▪"/>
      <w:lvlJc w:val="left"/>
      <w:pPr>
        <w:ind w:left="2160" w:hanging="360"/>
      </w:pPr>
    </w:lvl>
    <w:lvl w:ilvl="3" w:tplc="164226F6">
      <w:start w:val="1"/>
      <w:numFmt w:val="bullet"/>
      <w:lvlText w:val="•"/>
      <w:lvlJc w:val="left"/>
      <w:pPr>
        <w:ind w:left="2880" w:hanging="360"/>
      </w:pPr>
    </w:lvl>
    <w:lvl w:ilvl="4" w:tplc="0F64BD1C">
      <w:start w:val="1"/>
      <w:numFmt w:val="bullet"/>
      <w:lvlText w:val="o"/>
      <w:lvlJc w:val="left"/>
      <w:pPr>
        <w:ind w:left="3600" w:hanging="360"/>
      </w:pPr>
    </w:lvl>
    <w:lvl w:ilvl="5" w:tplc="622EF242">
      <w:start w:val="1"/>
      <w:numFmt w:val="bullet"/>
      <w:lvlText w:val="▪"/>
      <w:lvlJc w:val="left"/>
      <w:pPr>
        <w:ind w:left="4320" w:hanging="360"/>
      </w:pPr>
    </w:lvl>
    <w:lvl w:ilvl="6" w:tplc="4CCE12A4">
      <w:start w:val="1"/>
      <w:numFmt w:val="bullet"/>
      <w:lvlText w:val="•"/>
      <w:lvlJc w:val="left"/>
      <w:pPr>
        <w:ind w:left="5040" w:hanging="360"/>
      </w:pPr>
    </w:lvl>
    <w:lvl w:ilvl="7" w:tplc="A05A4CD2">
      <w:start w:val="1"/>
      <w:numFmt w:val="bullet"/>
      <w:lvlText w:val="o"/>
      <w:lvlJc w:val="left"/>
      <w:pPr>
        <w:ind w:left="5760" w:hanging="360"/>
      </w:pPr>
    </w:lvl>
    <w:lvl w:ilvl="8" w:tplc="767CF9B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AC351F2"/>
    <w:multiLevelType w:val="hybridMultilevel"/>
    <w:tmpl w:val="CBFE8ED8"/>
    <w:lvl w:ilvl="0" w:tplc="9CB09322">
      <w:start w:val="1"/>
      <w:numFmt w:val="decimal"/>
      <w:lvlText w:val="%1."/>
      <w:lvlJc w:val="left"/>
      <w:pPr>
        <w:ind w:left="720" w:hanging="360"/>
      </w:pPr>
    </w:lvl>
    <w:lvl w:ilvl="1" w:tplc="FC68CF94">
      <w:start w:val="1"/>
      <w:numFmt w:val="lowerLetter"/>
      <w:lvlText w:val="%2."/>
      <w:lvlJc w:val="left"/>
      <w:pPr>
        <w:ind w:left="1440" w:hanging="360"/>
      </w:pPr>
    </w:lvl>
    <w:lvl w:ilvl="2" w:tplc="DE4465A4">
      <w:start w:val="1"/>
      <w:numFmt w:val="lowerRoman"/>
      <w:lvlText w:val="%3."/>
      <w:lvlJc w:val="left"/>
      <w:pPr>
        <w:ind w:left="2160" w:hanging="360"/>
      </w:pPr>
    </w:lvl>
    <w:lvl w:ilvl="3" w:tplc="B3B01CA2">
      <w:start w:val="1"/>
      <w:numFmt w:val="decimal"/>
      <w:lvlText w:val="%4."/>
      <w:lvlJc w:val="left"/>
      <w:pPr>
        <w:ind w:left="2880" w:hanging="360"/>
      </w:pPr>
    </w:lvl>
    <w:lvl w:ilvl="4" w:tplc="DB2CDBDC">
      <w:start w:val="1"/>
      <w:numFmt w:val="lowerLetter"/>
      <w:lvlText w:val="%5."/>
      <w:lvlJc w:val="left"/>
      <w:pPr>
        <w:ind w:left="3600" w:hanging="360"/>
      </w:pPr>
    </w:lvl>
    <w:lvl w:ilvl="5" w:tplc="21C26B9C">
      <w:start w:val="1"/>
      <w:numFmt w:val="lowerRoman"/>
      <w:lvlText w:val="%6."/>
      <w:lvlJc w:val="left"/>
      <w:pPr>
        <w:ind w:left="4320" w:hanging="360"/>
      </w:pPr>
    </w:lvl>
    <w:lvl w:ilvl="6" w:tplc="B1246562">
      <w:start w:val="1"/>
      <w:numFmt w:val="decimal"/>
      <w:lvlText w:val="%7."/>
      <w:lvlJc w:val="left"/>
      <w:pPr>
        <w:ind w:left="5040" w:hanging="360"/>
      </w:pPr>
    </w:lvl>
    <w:lvl w:ilvl="7" w:tplc="E9C6E290">
      <w:start w:val="1"/>
      <w:numFmt w:val="lowerLetter"/>
      <w:lvlText w:val="%8."/>
      <w:lvlJc w:val="left"/>
      <w:pPr>
        <w:ind w:left="5760" w:hanging="360"/>
      </w:pPr>
    </w:lvl>
    <w:lvl w:ilvl="8" w:tplc="2B0A68EE">
      <w:start w:val="1"/>
      <w:numFmt w:val="lowerRoman"/>
      <w:lvlText w:val="%9."/>
      <w:lvlJc w:val="left"/>
      <w:pPr>
        <w:ind w:left="6480" w:hanging="360"/>
      </w:pPr>
    </w:lvl>
  </w:abstractNum>
  <w:num w:numId="1" w16cid:durableId="199363616">
    <w:abstractNumId w:val="0"/>
  </w:num>
  <w:num w:numId="2" w16cid:durableId="2066564449">
    <w:abstractNumId w:val="0"/>
  </w:num>
  <w:num w:numId="3" w16cid:durableId="1438788687">
    <w:abstractNumId w:val="0"/>
  </w:num>
  <w:num w:numId="4" w16cid:durableId="636954388">
    <w:abstractNumId w:val="0"/>
  </w:num>
  <w:num w:numId="5" w16cid:durableId="1747414850">
    <w:abstractNumId w:val="0"/>
  </w:num>
  <w:num w:numId="6" w16cid:durableId="114716122">
    <w:abstractNumId w:val="0"/>
  </w:num>
  <w:num w:numId="7" w16cid:durableId="131531416">
    <w:abstractNumId w:val="0"/>
  </w:num>
  <w:num w:numId="8" w16cid:durableId="1413166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8AE"/>
    <w:rsid w:val="002338AE"/>
    <w:rsid w:val="00295BE1"/>
    <w:rsid w:val="0078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9340"/>
  <w15:docId w15:val="{9FFE042D-831A-4928-B8AB-6D451486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1317</Words>
  <Characters>7510</Characters>
  <Application>Microsoft Office Word</Application>
  <DocSecurity>0</DocSecurity>
  <Lines>62</Lines>
  <Paragraphs>17</Paragraphs>
  <ScaleCrop>false</ScaleCrop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Credit Appraisal Engine - Project Summary</dc:title>
  <dc:description>Claude Docs node/ccf59e92-c49f@1 docx-w7</dc:description>
  <cp:lastModifiedBy>kavya vijai</cp:lastModifiedBy>
  <cp:revision>2</cp:revision>
  <dcterms:created xsi:type="dcterms:W3CDTF">2026-10-25T14:49:00Z</dcterms:created>
  <dcterms:modified xsi:type="dcterms:W3CDTF">2026-10-25T14:49:00Z</dcterms:modified>
</cp:coreProperties>
</file>