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AICA LEVEL 2 - CAPSTONE PROJECT</w:t>
        <w:br/>
      </w:r>
      <w:r>
        <w:rPr>
          <w:b/>
          <w:sz w:val="36"/>
        </w:rPr>
        <w:t>DCF Valuation Professional v3.0.5 - AI-Assisted Offline and Online Valuation Utility</w:t>
      </w:r>
    </w:p>
    <w:p>
      <w:pPr>
        <w:jc w:val="center"/>
      </w:pPr>
      <w:r>
        <w:rPr>
          <w:i/>
          <w:sz w:val="22"/>
        </w:rPr>
        <w:t>AI-assisted DCF valuation software for listed and unlisted companies</w:t>
      </w:r>
    </w:p>
    <w:p/>
    <w:tbl>
      <w:tblPr>
        <w:tblStyle w:val="TableGrid"/>
        <w:tblW w:type="auto" w:w="0"/>
        <w:jc w:val="center"/>
        <w:tblLook w:firstColumn="1" w:firstRow="1" w:lastColumn="0" w:lastRow="0" w:noHBand="0" w:noVBand="1" w:val="04A0"/>
      </w:tblPr>
      <w:tblGrid>
        <w:gridCol w:w="5040"/>
        <w:gridCol w:w="5040"/>
      </w:tblGrid>
      <w:tr>
        <w:tc>
          <w:tcPr>
            <w:tcW w:type="dxa" w:w="5040"/>
          </w:tcPr>
          <w:p>
            <w:r>
              <w:t>Participant</w:t>
            </w:r>
          </w:p>
        </w:tc>
        <w:tc>
          <w:tcPr>
            <w:tcW w:type="dxa" w:w="5040"/>
          </w:tcPr>
          <w:p>
            <w:r>
              <w:t>Rajesh Kamath</w:t>
            </w:r>
          </w:p>
        </w:tc>
      </w:tr>
      <w:tr>
        <w:tc>
          <w:tcPr>
            <w:tcW w:type="dxa" w:w="5040"/>
          </w:tcPr>
          <w:p>
            <w:r>
              <w:t>Membership No.</w:t>
            </w:r>
          </w:p>
        </w:tc>
        <w:tc>
          <w:tcPr>
            <w:tcW w:type="dxa" w:w="5040"/>
          </w:tcPr>
          <w:p>
            <w:r>
              <w:t>100524</w:t>
            </w:r>
          </w:p>
        </w:tc>
      </w:tr>
      <w:tr>
        <w:tc>
          <w:tcPr>
            <w:tcW w:type="dxa" w:w="5040"/>
          </w:tcPr>
          <w:p>
            <w:r>
              <w:t>Batch</w:t>
            </w:r>
          </w:p>
        </w:tc>
        <w:tc>
          <w:tcPr>
            <w:tcW w:type="dxa" w:w="5040"/>
          </w:tcPr>
          <w:p>
            <w:r>
              <w:t>104</w:t>
            </w:r>
          </w:p>
        </w:tc>
      </w:tr>
      <w:tr>
        <w:tc>
          <w:tcPr>
            <w:tcW w:type="dxa" w:w="5040"/>
          </w:tcPr>
          <w:p>
            <w:r>
              <w:t>Project Version</w:t>
            </w:r>
          </w:p>
        </w:tc>
        <w:tc>
          <w:tcPr>
            <w:tcW w:type="dxa" w:w="5040"/>
          </w:tcPr>
          <w:p>
            <w:r>
              <w:t>v3.0.5</w:t>
            </w:r>
          </w:p>
        </w:tc>
      </w:tr>
      <w:tr>
        <w:tc>
          <w:tcPr>
            <w:tcW w:type="dxa" w:w="5040"/>
          </w:tcPr>
          <w:p>
            <w:r>
              <w:t>Submission Type</w:t>
            </w:r>
          </w:p>
        </w:tc>
        <w:tc>
          <w:tcPr>
            <w:tcW w:type="dxa" w:w="5040"/>
          </w:tcPr>
          <w:p>
            <w:r>
              <w:t>AICA Level 2 Individual Capstone</w:t>
            </w:r>
          </w:p>
        </w:tc>
      </w:tr>
      <w:tr>
        <w:tc>
          <w:tcPr>
            <w:tcW w:type="dxa" w:w="5040"/>
          </w:tcPr>
          <w:p>
            <w:r>
              <w:t>Prepared For</w:t>
            </w:r>
          </w:p>
        </w:tc>
        <w:tc>
          <w:tcPr>
            <w:tcW w:type="dxa" w:w="5040"/>
          </w:tcPr>
          <w:p>
            <w:r>
              <w:t>ICAI AICA Level 2 Evaluation</w:t>
            </w:r>
          </w:p>
        </w:tc>
      </w:tr>
    </w:tbl>
    <w:p>
      <w:r>
        <w:br w:type="page"/>
      </w:r>
    </w:p>
    <w:p>
      <w:pPr>
        <w:pStyle w:val="Heading1"/>
      </w:pPr>
      <w:r>
        <w:t>Executive Summary</w:t>
      </w:r>
    </w:p>
    <w:p>
      <w:r>
        <w:t>This capstone project presents DCF Valuation Professional v3.0.5, a hybrid offline and AI-assisted desktop utility developed to automate structured discounted cash flow valuation for listed and unlisted operating companies. The system converts user-entered or imported financial information into a five-year FCFF valuation model, estimates WACC, computes terminal value, bridges enterprise value to equity value, and generates Excel, Word, PDF and PowerPoint valuation outputs.</w:t>
      </w:r>
    </w:p>
    <w:p>
      <w:r>
        <w:t>The AI component is used as a controlled analytical co-pilot. The valuation engine itself remains formula-driven and auditable. Users may run the tool entirely offline using deterministic assumptions, use local AI through Ollama, or optionally use online AI through OpenAI or Gemini after explicit consent.</w:t>
      </w:r>
    </w:p>
    <w:p>
      <w:pPr>
        <w:pStyle w:val="Heading1"/>
      </w:pPr>
      <w:r>
        <w:t>1. Problem Statement</w:t>
      </w:r>
    </w:p>
    <w:p>
      <w:r>
        <w:t>DCF valuation is widely used in corporate finance, valuation assignments and investment analysis, but it is often time-consuming, inconsistent and dependent on manually linked spreadsheets. Users also face difficulties when extracting financial figures from Schedule III financial statements and when valuing unlisted companies where beta and market inputs are not directly observable. The project solves this by creating a reusable desktop utility that standardises inputs, assumptions, calculations, AI support, review controls and report generation.</w:t>
      </w:r>
    </w:p>
    <w:p>
      <w:pPr>
        <w:pStyle w:val="Heading1"/>
      </w:pPr>
      <w:r>
        <w:t>2. Objectives</w:t>
      </w:r>
    </w:p>
    <w:p>
      <w:r>
        <w:t>The objectives are to create an offline-first DCF valuation tool, support listed and unlisted companies, allow Excel/PDF financial statement import, generate assumptions with offline rules or AI, compute FCFF/WACC/terminal value, perform scenario and sensitivity analysis, export valuation reports, and maintain privacy by ensuring client data is not sent online unless the user expressly chooses an online AI option.</w:t>
      </w:r>
    </w:p>
    <w:p>
      <w:pPr>
        <w:pStyle w:val="Heading1"/>
      </w:pPr>
      <w:r>
        <w:t>3. Scope of the Project</w:t>
      </w:r>
    </w:p>
    <w:p>
      <w:r>
        <w:t>The utility is designed for operating businesses with forecastable cash flows. It supports historical financial inputs, five-year forecasts, CAPM-based cost of equity, bottom-up beta for unlisted companies, enterprise-to-equity bridge, valuation per share/unit, sensitivity analysis and scenario analysis. It is not a replacement for statutory valuation standards or professional judgment.</w:t>
      </w:r>
    </w:p>
    <w:p>
      <w:pPr>
        <w:pStyle w:val="Heading1"/>
      </w:pPr>
      <w:r>
        <w:t>4. Technical Architecture</w:t>
      </w:r>
    </w:p>
    <w:p>
      <w:r>
        <w:t>The workflow is: Company setup -&gt; financial statement import/manual input -&gt; mapping review -&gt; assumption generation -&gt; DCF engine -&gt; scenario/sensitivity analysis -&gt; report exports. The system is built using Python with Tkinter for the GUI and open-source libraries for Excel, Word, PDF and PowerPoint generation.</w:t>
      </w:r>
    </w:p>
    <w:p>
      <w:pPr>
        <w:pStyle w:val="Heading1"/>
      </w:pPr>
      <w:r>
        <w:t>5. AI Methodology</w:t>
      </w:r>
    </w:p>
    <w:p>
      <w:r>
        <w:t>The project supports three AI/automation modes. Offline Assumptions use deterministic financial logic based on historical CAGR, median margin and reinvestment ratios. Ollama Local AI allows a local LLM to recommend DCF assumptions without cloud upload. Online AI mode allows OpenAI/Gemini-assisted assumption generation only after explicit user consent. AI output is not treated as final; the user must review all assumptions.</w:t>
      </w:r>
    </w:p>
    <w:p>
      <w:pPr>
        <w:pStyle w:val="Heading1"/>
      </w:pPr>
      <w:r>
        <w:t>6. Financial Methodology</w:t>
      </w:r>
    </w:p>
    <w:p>
      <w:r>
        <w:t>The application uses Free Cash Flow to Firm: FCFF = EBIT x (1 - Tax Rate) + Depreciation and Amortisation - Capex - Change in Net Working Capital. FCFF is discounted using WACC. Terminal value is calculated using the Gordon Growth Model. Enterprise value is adjusted for debt, cash, investments and other claims to arrive at equity value.</w:t>
      </w:r>
    </w:p>
    <w:p>
      <w:pPr>
        <w:pStyle w:val="Heading1"/>
      </w:pPr>
      <w:r>
        <w:t>7. Unlisted Company Module</w:t>
      </w:r>
    </w:p>
    <w:p>
      <w:r>
        <w:t>For unlisted entities, the tool can compute bottom-up beta by unlevering comparable listed-company betas and re-levering the average beta using the subject company target D/E ratio. It also permits company-specific or size risk premium inputs where professionally supportable.</w:t>
      </w:r>
    </w:p>
    <w:p>
      <w:pPr>
        <w:pStyle w:val="Heading1"/>
      </w:pPr>
      <w:r>
        <w:t>8. Schedule III Import Controls</w:t>
      </w:r>
    </w:p>
    <w:p>
      <w:r>
        <w:t>Version 3.0.5 improves financial extraction by detecting year columns, considering P&amp;L/Cash Flow/Balance Sheet context, assigning confidence grades, rejecting implausible mappings and showing a review screen before imported figures are posted to the historical model.</w:t>
      </w:r>
    </w:p>
    <w:p>
      <w:pPr>
        <w:pStyle w:val="Heading1"/>
      </w:pPr>
      <w:r>
        <w:t>9. Privacy and Governance</w:t>
      </w:r>
    </w:p>
    <w:p>
      <w:r>
        <w:t>Financial parsing is local. Online AI providers receive extracted text/data only when the user explicitly chooses online AI. API keys are not written into project files. The application also contains a demo/licensing system with machine-bound signed reuse keys and an activation contact message.</w:t>
      </w:r>
    </w:p>
    <w:p>
      <w:pPr>
        <w:pStyle w:val="Heading1"/>
      </w:pPr>
      <w:r>
        <w:t>10. Outputs</w:t>
      </w:r>
    </w:p>
    <w:p>
      <w:r>
        <w:t>The utility exports a valuation pack consisting of Excel DCF model, Word report, PDF report, PowerPoint summary and project JSON. The exported files provide an audit trail of assumptions, calculations and outputs.</w:t>
      </w:r>
    </w:p>
    <w:p>
      <w:pPr>
        <w:pStyle w:val="Heading1"/>
      </w:pPr>
      <w:r>
        <w:t>11. Validation and Testing</w:t>
      </w:r>
    </w:p>
    <w:p>
      <w:r>
        <w:t>The project was tested through iterative use on Windows, including Python environment correction, Ollama setup, local model detection, financial-statement import, AI timeout handling and EXE build using Nuitka. Issues discovered during testing were corrected across versions up to v3.0.5.</w:t>
      </w:r>
    </w:p>
    <w:p>
      <w:pPr>
        <w:pStyle w:val="Heading1"/>
      </w:pPr>
      <w:r>
        <w:t>12. Limitations</w:t>
      </w:r>
    </w:p>
    <w:p>
      <w:r>
        <w:t>Automatic financial extraction is a best-effort aid and must be reviewed. AI-generated assumptions require professional validation. DCF outputs are highly sensitive to growth, margin, reinvestment, WACC and terminal-growth assumptions. Statutory/regulatory valuations may require additional methods and compliance procedures.</w:t>
      </w:r>
    </w:p>
    <w:p>
      <w:pPr>
        <w:pStyle w:val="Heading1"/>
      </w:pPr>
      <w:r>
        <w:t>13. Learning Outcomes</w:t>
      </w:r>
    </w:p>
    <w:p>
      <w:r>
        <w:t>The project demonstrates AI-enabled financial analytics, automation of valuation workflows, responsible AI use, prompt engineering, privacy-aware design, local AI deployment, spreadsheet/report automation and practical integration of finance with technology.</w:t>
      </w:r>
    </w:p>
    <w:p>
      <w:pPr>
        <w:pStyle w:val="Heading1"/>
      </w:pPr>
      <w:r>
        <w:t>14. Declaration</w:t>
      </w:r>
    </w:p>
    <w:p>
      <w:r>
        <w:t>This capstone has been prepared as an AICA Level 2 Batch 104 individual project by Rajesh Kamath, Membership No. 100524. AI has been used as a development and analytical aid; final assumptions, project design and professional use remain subject to human review and judgment.</w:t>
      </w:r>
    </w:p>
    <w:p>
      <w:pPr>
        <w:pStyle w:val="Heading1"/>
      </w:pPr>
      <w:r>
        <w:t>Technical Parameters</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Implementation</w:t>
            </w:r>
          </w:p>
        </w:tc>
      </w:tr>
      <w:tr>
        <w:tc>
          <w:tcPr>
            <w:tcW w:type="dxa" w:w="5040"/>
          </w:tcPr>
          <w:p>
            <w:r>
              <w:t>Programming language</w:t>
            </w:r>
          </w:p>
        </w:tc>
        <w:tc>
          <w:tcPr>
            <w:tcW w:type="dxa" w:w="5040"/>
          </w:tcPr>
          <w:p>
            <w:r>
              <w:t>Python 3.12 compatible</w:t>
            </w:r>
          </w:p>
        </w:tc>
      </w:tr>
      <w:tr>
        <w:tc>
          <w:tcPr>
            <w:tcW w:type="dxa" w:w="5040"/>
          </w:tcPr>
          <w:p>
            <w:r>
              <w:t>GUI</w:t>
            </w:r>
          </w:p>
        </w:tc>
        <w:tc>
          <w:tcPr>
            <w:tcW w:type="dxa" w:w="5040"/>
          </w:tcPr>
          <w:p>
            <w:r>
              <w:t>Tkinter desktop interface</w:t>
            </w:r>
          </w:p>
        </w:tc>
      </w:tr>
      <w:tr>
        <w:tc>
          <w:tcPr>
            <w:tcW w:type="dxa" w:w="5040"/>
          </w:tcPr>
          <w:p>
            <w:r>
              <w:t>Excel handling</w:t>
            </w:r>
          </w:p>
        </w:tc>
        <w:tc>
          <w:tcPr>
            <w:tcW w:type="dxa" w:w="5040"/>
          </w:tcPr>
          <w:p>
            <w:r>
              <w:t>openpyxl</w:t>
            </w:r>
          </w:p>
        </w:tc>
      </w:tr>
      <w:tr>
        <w:tc>
          <w:tcPr>
            <w:tcW w:type="dxa" w:w="5040"/>
          </w:tcPr>
          <w:p>
            <w:r>
              <w:t>Word reporting</w:t>
            </w:r>
          </w:p>
        </w:tc>
        <w:tc>
          <w:tcPr>
            <w:tcW w:type="dxa" w:w="5040"/>
          </w:tcPr>
          <w:p>
            <w:r>
              <w:t>python-docx</w:t>
            </w:r>
          </w:p>
        </w:tc>
      </w:tr>
      <w:tr>
        <w:tc>
          <w:tcPr>
            <w:tcW w:type="dxa" w:w="5040"/>
          </w:tcPr>
          <w:p>
            <w:r>
              <w:t>PDF reporting</w:t>
            </w:r>
          </w:p>
        </w:tc>
        <w:tc>
          <w:tcPr>
            <w:tcW w:type="dxa" w:w="5040"/>
          </w:tcPr>
          <w:p>
            <w:r>
              <w:t>reportlab</w:t>
            </w:r>
          </w:p>
        </w:tc>
      </w:tr>
      <w:tr>
        <w:tc>
          <w:tcPr>
            <w:tcW w:type="dxa" w:w="5040"/>
          </w:tcPr>
          <w:p>
            <w:r>
              <w:t>Presentation export</w:t>
            </w:r>
          </w:p>
        </w:tc>
        <w:tc>
          <w:tcPr>
            <w:tcW w:type="dxa" w:w="5040"/>
          </w:tcPr>
          <w:p>
            <w:r>
              <w:t>python-pptx</w:t>
            </w:r>
          </w:p>
        </w:tc>
      </w:tr>
      <w:tr>
        <w:tc>
          <w:tcPr>
            <w:tcW w:type="dxa" w:w="5040"/>
          </w:tcPr>
          <w:p>
            <w:r>
              <w:t>PDF extraction</w:t>
            </w:r>
          </w:p>
        </w:tc>
        <w:tc>
          <w:tcPr>
            <w:tcW w:type="dxa" w:w="5040"/>
          </w:tcPr>
          <w:p>
            <w:r>
              <w:t>pypdf</w:t>
            </w:r>
          </w:p>
        </w:tc>
      </w:tr>
      <w:tr>
        <w:tc>
          <w:tcPr>
            <w:tcW w:type="dxa" w:w="5040"/>
          </w:tcPr>
          <w:p>
            <w:r>
              <w:t>Offline AI</w:t>
            </w:r>
          </w:p>
        </w:tc>
        <w:tc>
          <w:tcPr>
            <w:tcW w:type="dxa" w:w="5040"/>
          </w:tcPr>
          <w:p>
            <w:r>
              <w:t>Ollama local model, e.g. gemma3</w:t>
            </w:r>
          </w:p>
        </w:tc>
      </w:tr>
      <w:tr>
        <w:tc>
          <w:tcPr>
            <w:tcW w:type="dxa" w:w="5040"/>
          </w:tcPr>
          <w:p>
            <w:r>
              <w:t>Online AI</w:t>
            </w:r>
          </w:p>
        </w:tc>
        <w:tc>
          <w:tcPr>
            <w:tcW w:type="dxa" w:w="5040"/>
          </w:tcPr>
          <w:p>
            <w:r>
              <w:t>OpenAI/Gemini through user-selected API key</w:t>
            </w:r>
          </w:p>
        </w:tc>
      </w:tr>
      <w:tr>
        <w:tc>
          <w:tcPr>
            <w:tcW w:type="dxa" w:w="5040"/>
          </w:tcPr>
          <w:p>
            <w:r>
              <w:t>Licensing</w:t>
            </w:r>
          </w:p>
        </w:tc>
        <w:tc>
          <w:tcPr>
            <w:tcW w:type="dxa" w:w="5040"/>
          </w:tcPr>
          <w:p>
            <w:r>
              <w:t>Asymmetric signed machine-bound reuse key</w:t>
            </w:r>
          </w:p>
        </w:tc>
      </w:tr>
      <w:tr>
        <w:tc>
          <w:tcPr>
            <w:tcW w:type="dxa" w:w="5040"/>
          </w:tcPr>
          <w:p>
            <w:r>
              <w:t>EXE build</w:t>
            </w:r>
          </w:p>
        </w:tc>
        <w:tc>
          <w:tcPr>
            <w:tcW w:type="dxa" w:w="5040"/>
          </w:tcPr>
          <w:p>
            <w:r>
              <w:t>Nuitka one-file Windows build</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