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D8872" w14:textId="77777777" w:rsidR="003C0F0B" w:rsidRDefault="00000000">
      <w:pPr>
        <w:spacing w:after="60"/>
      </w:pPr>
      <w:r>
        <w:rPr>
          <w:rFonts w:ascii="Calibri" w:eastAsia="Calibri" w:hAnsi="Calibri" w:cs="Calibri"/>
          <w:b/>
          <w:bCs/>
          <w:color w:val="B7791F"/>
          <w:spacing w:val="20"/>
        </w:rPr>
        <w:t>DEVELOPMENT PROMPT LOG</w:t>
      </w:r>
    </w:p>
    <w:p w14:paraId="2368420D" w14:textId="77777777" w:rsidR="003C0F0B" w:rsidRDefault="00000000">
      <w:pPr>
        <w:spacing w:after="100"/>
      </w:pPr>
      <w:r>
        <w:rPr>
          <w:rFonts w:ascii="Cambria" w:eastAsia="Cambria" w:hAnsi="Cambria" w:cs="Cambria"/>
          <w:b/>
          <w:bCs/>
          <w:color w:val="1A2530"/>
          <w:sz w:val="44"/>
          <w:szCs w:val="44"/>
        </w:rPr>
        <w:t>Ind AS (IGAAP) vs US GAAP</w:t>
      </w:r>
    </w:p>
    <w:p w14:paraId="71BAAEE2" w14:textId="77777777" w:rsidR="003C0F0B" w:rsidRDefault="00000000">
      <w:pPr>
        <w:spacing w:after="280"/>
      </w:pPr>
      <w:r>
        <w:rPr>
          <w:rFonts w:ascii="Calibri" w:eastAsia="Calibri" w:hAnsi="Calibri" w:cs="Calibri"/>
          <w:i/>
          <w:iCs/>
          <w:color w:val="5B6B7D"/>
          <w:sz w:val="24"/>
          <w:szCs w:val="24"/>
        </w:rPr>
        <w:t>A Chronological Record of the Requirements Used to Build This Project</w:t>
      </w:r>
    </w:p>
    <w:p w14:paraId="21D3FCDA" w14:textId="77777777" w:rsidR="003C0F0B" w:rsidRDefault="003C0F0B">
      <w:pPr>
        <w:pBdr>
          <w:bottom w:val="single" w:sz="6" w:space="8" w:color="D9DEE4"/>
        </w:pBdr>
        <w:spacing w:after="300"/>
      </w:pPr>
    </w:p>
    <w:p w14:paraId="5C980EA3" w14:textId="77777777" w:rsidR="003C0F0B" w:rsidRDefault="00000000">
      <w:pPr>
        <w:spacing w:after="160" w:line="300" w:lineRule="auto"/>
      </w:pPr>
      <w:r>
        <w:rPr>
          <w:rFonts w:ascii="Calibri" w:eastAsia="Calibri" w:hAnsi="Calibri" w:cs="Calibri"/>
          <w:color w:val="1A2530"/>
          <w:sz w:val="22"/>
          <w:szCs w:val="22"/>
        </w:rPr>
        <w:t>This document summarizes, in order, the requirements given during the iterative development of the Ind AS (IGAAP) vs US GAAP comparison tool, along with what was delivered in response to each. It is a condensed record of the working sessions rather than a verbatim transcript, intended to demonstrate the project's development history for submission purposes.</w:t>
      </w:r>
    </w:p>
    <w:p w14:paraId="50765C14" w14:textId="77777777" w:rsidR="003C0F0B" w:rsidRDefault="00000000">
      <w:pPr>
        <w:pStyle w:val="Heading1"/>
        <w:pBdr>
          <w:bottom w:val="single" w:sz="8" w:space="4" w:color="38976F"/>
        </w:pBdr>
        <w:spacing w:before="360" w:after="160"/>
      </w:pPr>
      <w:r>
        <w:rPr>
          <w:rFonts w:ascii="Cambria" w:eastAsia="Cambria" w:hAnsi="Cambria" w:cs="Cambria"/>
          <w:b/>
          <w:bCs/>
          <w:color w:val="1A2530"/>
          <w:sz w:val="30"/>
          <w:szCs w:val="30"/>
        </w:rPr>
        <w:t>Requirement &amp; Delivery Log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600"/>
        <w:gridCol w:w="4000"/>
        <w:gridCol w:w="3980"/>
      </w:tblGrid>
      <w:tr w:rsidR="003C0F0B" w14:paraId="679BDD0D" w14:textId="77777777">
        <w:tblPrEx>
          <w:tblCellMar>
            <w:top w:w="0" w:type="dxa"/>
            <w:bottom w:w="0" w:type="dxa"/>
          </w:tblCellMar>
        </w:tblPrEx>
        <w:trPr>
          <w:tblHeader/>
        </w:trPr>
        <w:tc>
          <w:tcPr>
            <w:tcW w:w="500" w:type="dxa"/>
            <w:shd w:val="clear" w:color="auto" w:fill="1A2530"/>
            <w:tcMar>
              <w:top w:w="100" w:type="dxa"/>
              <w:left w:w="120" w:type="dxa"/>
              <w:bottom w:w="100" w:type="dxa"/>
              <w:right w:w="120" w:type="dxa"/>
            </w:tcMar>
          </w:tcPr>
          <w:p w14:paraId="67B75570" w14:textId="77777777" w:rsidR="003C0F0B" w:rsidRDefault="00000000">
            <w:pPr>
              <w:spacing w:line="260" w:lineRule="auto"/>
            </w:pPr>
            <w:r>
              <w:rPr>
                <w:rFonts w:ascii="Calibri" w:eastAsia="Calibri" w:hAnsi="Calibri" w:cs="Calibri"/>
                <w:b/>
                <w:bCs/>
                <w:color w:val="FFFFFF"/>
              </w:rPr>
              <w:t>#</w:t>
            </w:r>
          </w:p>
        </w:tc>
        <w:tc>
          <w:tcPr>
            <w:tcW w:w="1600" w:type="dxa"/>
            <w:shd w:val="clear" w:color="auto" w:fill="1A2530"/>
            <w:tcMar>
              <w:top w:w="100" w:type="dxa"/>
              <w:left w:w="120" w:type="dxa"/>
              <w:bottom w:w="100" w:type="dxa"/>
              <w:right w:w="120" w:type="dxa"/>
            </w:tcMar>
          </w:tcPr>
          <w:p w14:paraId="7F559249" w14:textId="77777777" w:rsidR="003C0F0B" w:rsidRDefault="00000000">
            <w:pPr>
              <w:spacing w:line="260" w:lineRule="auto"/>
            </w:pPr>
            <w:r>
              <w:rPr>
                <w:rFonts w:ascii="Calibri" w:eastAsia="Calibri" w:hAnsi="Calibri" w:cs="Calibri"/>
                <w:b/>
                <w:bCs/>
                <w:color w:val="FFFFFF"/>
              </w:rPr>
              <w:t>Phase</w:t>
            </w:r>
          </w:p>
        </w:tc>
        <w:tc>
          <w:tcPr>
            <w:tcW w:w="4000" w:type="dxa"/>
            <w:shd w:val="clear" w:color="auto" w:fill="1A2530"/>
            <w:tcMar>
              <w:top w:w="100" w:type="dxa"/>
              <w:left w:w="120" w:type="dxa"/>
              <w:bottom w:w="100" w:type="dxa"/>
              <w:right w:w="120" w:type="dxa"/>
            </w:tcMar>
          </w:tcPr>
          <w:p w14:paraId="10D9EA3E" w14:textId="77777777" w:rsidR="003C0F0B" w:rsidRDefault="00000000">
            <w:pPr>
              <w:spacing w:line="260" w:lineRule="auto"/>
            </w:pPr>
            <w:r>
              <w:rPr>
                <w:rFonts w:ascii="Calibri" w:eastAsia="Calibri" w:hAnsi="Calibri" w:cs="Calibri"/>
                <w:b/>
                <w:bCs/>
                <w:color w:val="FFFFFF"/>
              </w:rPr>
              <w:t>Requirement Summary</w:t>
            </w:r>
          </w:p>
        </w:tc>
        <w:tc>
          <w:tcPr>
            <w:tcW w:w="3980" w:type="dxa"/>
            <w:shd w:val="clear" w:color="auto" w:fill="1A2530"/>
            <w:tcMar>
              <w:top w:w="100" w:type="dxa"/>
              <w:left w:w="120" w:type="dxa"/>
              <w:bottom w:w="100" w:type="dxa"/>
              <w:right w:w="120" w:type="dxa"/>
            </w:tcMar>
          </w:tcPr>
          <w:p w14:paraId="12FBF969" w14:textId="77777777" w:rsidR="003C0F0B" w:rsidRDefault="00000000">
            <w:pPr>
              <w:spacing w:line="260" w:lineRule="auto"/>
            </w:pPr>
            <w:r>
              <w:rPr>
                <w:rFonts w:ascii="Calibri" w:eastAsia="Calibri" w:hAnsi="Calibri" w:cs="Calibri"/>
                <w:b/>
                <w:bCs/>
                <w:color w:val="FFFFFF"/>
              </w:rPr>
              <w:t>Outcome Delivered</w:t>
            </w:r>
          </w:p>
        </w:tc>
      </w:tr>
      <w:tr w:rsidR="003C0F0B" w14:paraId="774FDA85" w14:textId="77777777">
        <w:tblPrEx>
          <w:tblCellMar>
            <w:top w:w="0" w:type="dxa"/>
            <w:bottom w:w="0" w:type="dxa"/>
          </w:tblCellMar>
        </w:tblPrEx>
        <w:tc>
          <w:tcPr>
            <w:tcW w:w="500" w:type="dxa"/>
            <w:tcMar>
              <w:top w:w="100" w:type="dxa"/>
              <w:left w:w="120" w:type="dxa"/>
              <w:bottom w:w="100" w:type="dxa"/>
              <w:right w:w="120" w:type="dxa"/>
            </w:tcMar>
          </w:tcPr>
          <w:p w14:paraId="617C267E" w14:textId="77777777" w:rsidR="003C0F0B" w:rsidRDefault="00000000">
            <w:pPr>
              <w:spacing w:line="260" w:lineRule="auto"/>
            </w:pPr>
            <w:r>
              <w:rPr>
                <w:rFonts w:ascii="Calibri" w:eastAsia="Calibri" w:hAnsi="Calibri" w:cs="Calibri"/>
                <w:color w:val="1A2530"/>
              </w:rPr>
              <w:t>1</w:t>
            </w:r>
          </w:p>
        </w:tc>
        <w:tc>
          <w:tcPr>
            <w:tcW w:w="1600" w:type="dxa"/>
            <w:tcMar>
              <w:top w:w="100" w:type="dxa"/>
              <w:left w:w="120" w:type="dxa"/>
              <w:bottom w:w="100" w:type="dxa"/>
              <w:right w:w="120" w:type="dxa"/>
            </w:tcMar>
          </w:tcPr>
          <w:p w14:paraId="72DDA9C1" w14:textId="77777777" w:rsidR="003C0F0B" w:rsidRDefault="00000000">
            <w:pPr>
              <w:spacing w:line="260" w:lineRule="auto"/>
            </w:pPr>
            <w:r>
              <w:rPr>
                <w:rFonts w:ascii="Calibri" w:eastAsia="Calibri" w:hAnsi="Calibri" w:cs="Calibri"/>
                <w:b/>
                <w:bCs/>
                <w:color w:val="38976F"/>
              </w:rPr>
              <w:t>Starting point</w:t>
            </w:r>
          </w:p>
        </w:tc>
        <w:tc>
          <w:tcPr>
            <w:tcW w:w="4000" w:type="dxa"/>
            <w:tcMar>
              <w:top w:w="100" w:type="dxa"/>
              <w:left w:w="120" w:type="dxa"/>
              <w:bottom w:w="100" w:type="dxa"/>
              <w:right w:w="120" w:type="dxa"/>
            </w:tcMar>
          </w:tcPr>
          <w:p w14:paraId="3CC6463A" w14:textId="77777777" w:rsidR="003C0F0B" w:rsidRDefault="00000000">
            <w:pPr>
              <w:spacing w:line="260" w:lineRule="auto"/>
            </w:pPr>
            <w:r>
              <w:rPr>
                <w:rFonts w:ascii="Calibri" w:eastAsia="Calibri" w:hAnsi="Calibri" w:cs="Calibri"/>
                <w:color w:val="1A2530"/>
              </w:rPr>
              <w:t>The user had already developed a single-standard Ind AS vs US GAAP Inventory comparison tool (Ind AS 2 vs US GAAP ASC 330) using ChatGPT, with cost-method dropdowns. This existing tool was provided as the input and starting point for this project.</w:t>
            </w:r>
          </w:p>
        </w:tc>
        <w:tc>
          <w:tcPr>
            <w:tcW w:w="3980" w:type="dxa"/>
            <w:tcMar>
              <w:top w:w="100" w:type="dxa"/>
              <w:left w:w="120" w:type="dxa"/>
              <w:bottom w:w="100" w:type="dxa"/>
              <w:right w:w="120" w:type="dxa"/>
            </w:tcMar>
          </w:tcPr>
          <w:p w14:paraId="1D80F551" w14:textId="77777777" w:rsidR="003C0F0B" w:rsidRDefault="00000000">
            <w:pPr>
              <w:spacing w:line="260" w:lineRule="auto"/>
            </w:pPr>
            <w:r>
              <w:rPr>
                <w:rFonts w:ascii="Calibri" w:eastAsia="Calibri" w:hAnsi="Calibri" w:cs="Calibri"/>
                <w:color w:val="1A2530"/>
              </w:rPr>
              <w:t>Reviewed the supplied Inventory comparison tool to understand its structure and logic before extending it, ensuring the existing accounting calculations were preserved rather than rebuilt from scratch.</w:t>
            </w:r>
          </w:p>
        </w:tc>
      </w:tr>
      <w:tr w:rsidR="003C0F0B" w14:paraId="441DEFCA" w14:textId="77777777">
        <w:tblPrEx>
          <w:tblCellMar>
            <w:top w:w="0" w:type="dxa"/>
            <w:bottom w:w="0" w:type="dxa"/>
          </w:tblCellMar>
        </w:tblPrEx>
        <w:tc>
          <w:tcPr>
            <w:tcW w:w="500" w:type="dxa"/>
            <w:tcMar>
              <w:top w:w="100" w:type="dxa"/>
              <w:left w:w="120" w:type="dxa"/>
              <w:bottom w:w="100" w:type="dxa"/>
              <w:right w:w="120" w:type="dxa"/>
            </w:tcMar>
          </w:tcPr>
          <w:p w14:paraId="4D7F2610" w14:textId="77777777" w:rsidR="003C0F0B" w:rsidRDefault="00000000">
            <w:pPr>
              <w:spacing w:line="260" w:lineRule="auto"/>
            </w:pPr>
            <w:r>
              <w:rPr>
                <w:rFonts w:ascii="Calibri" w:eastAsia="Calibri" w:hAnsi="Calibri" w:cs="Calibri"/>
                <w:color w:val="1A2530"/>
              </w:rPr>
              <w:t>2</w:t>
            </w:r>
          </w:p>
        </w:tc>
        <w:tc>
          <w:tcPr>
            <w:tcW w:w="1600" w:type="dxa"/>
            <w:tcMar>
              <w:top w:w="100" w:type="dxa"/>
              <w:left w:w="120" w:type="dxa"/>
              <w:bottom w:w="100" w:type="dxa"/>
              <w:right w:w="120" w:type="dxa"/>
            </w:tcMar>
          </w:tcPr>
          <w:p w14:paraId="21E4167F" w14:textId="77777777" w:rsidR="003C0F0B" w:rsidRDefault="00000000">
            <w:pPr>
              <w:spacing w:line="260" w:lineRule="auto"/>
            </w:pPr>
            <w:r>
              <w:rPr>
                <w:rFonts w:ascii="Calibri" w:eastAsia="Calibri" w:hAnsi="Calibri" w:cs="Calibri"/>
                <w:b/>
                <w:bCs/>
                <w:color w:val="38976F"/>
              </w:rPr>
              <w:t>Initial build-out</w:t>
            </w:r>
          </w:p>
        </w:tc>
        <w:tc>
          <w:tcPr>
            <w:tcW w:w="4000" w:type="dxa"/>
            <w:tcMar>
              <w:top w:w="100" w:type="dxa"/>
              <w:left w:w="120" w:type="dxa"/>
              <w:bottom w:w="100" w:type="dxa"/>
              <w:right w:w="120" w:type="dxa"/>
            </w:tcMar>
          </w:tcPr>
          <w:p w14:paraId="463FC214" w14:textId="77777777" w:rsidR="003C0F0B" w:rsidRDefault="00000000">
            <w:pPr>
              <w:spacing w:line="260" w:lineRule="auto"/>
            </w:pPr>
            <w:r>
              <w:rPr>
                <w:rFonts w:ascii="Calibri" w:eastAsia="Calibri" w:hAnsi="Calibri" w:cs="Calibri"/>
                <w:color w:val="1A2530"/>
              </w:rPr>
              <w:t>Rework the supplied Inventory (Ind AS 2 vs US GAAP ASC 330) comparison app: rename the app, add Ind AS / US GAAP inventory-costing-method dropdowns, make the accounting-treatment view update with the selected methods, show journal entries for both frameworks side by side, and rebuild the reconciliation as profit-first, side-by-side boxes rather than a single stacked table.</w:t>
            </w:r>
          </w:p>
        </w:tc>
        <w:tc>
          <w:tcPr>
            <w:tcW w:w="3980" w:type="dxa"/>
            <w:tcMar>
              <w:top w:w="100" w:type="dxa"/>
              <w:left w:w="120" w:type="dxa"/>
              <w:bottom w:w="100" w:type="dxa"/>
              <w:right w:w="120" w:type="dxa"/>
            </w:tcMar>
          </w:tcPr>
          <w:p w14:paraId="17055F19" w14:textId="77777777" w:rsidR="003C0F0B" w:rsidRDefault="00000000">
            <w:pPr>
              <w:spacing w:line="260" w:lineRule="auto"/>
            </w:pPr>
            <w:r>
              <w:rPr>
                <w:rFonts w:ascii="Calibri" w:eastAsia="Calibri" w:hAnsi="Calibri" w:cs="Calibri"/>
                <w:color w:val="1A2530"/>
              </w:rPr>
              <w:t>Delivered a revised desktop app with the requested dropdowns, a dynamic treatment view, side-by-side journal entries, and a profit-first reconciliation layout; confirmed the existing upload template already matched the app's expected column layout.</w:t>
            </w:r>
          </w:p>
        </w:tc>
      </w:tr>
      <w:tr w:rsidR="003C0F0B" w14:paraId="5CDD2E98" w14:textId="77777777">
        <w:tblPrEx>
          <w:tblCellMar>
            <w:top w:w="0" w:type="dxa"/>
            <w:bottom w:w="0" w:type="dxa"/>
          </w:tblCellMar>
        </w:tblPrEx>
        <w:tc>
          <w:tcPr>
            <w:tcW w:w="500" w:type="dxa"/>
            <w:tcMar>
              <w:top w:w="100" w:type="dxa"/>
              <w:left w:w="120" w:type="dxa"/>
              <w:bottom w:w="100" w:type="dxa"/>
              <w:right w:w="120" w:type="dxa"/>
            </w:tcMar>
          </w:tcPr>
          <w:p w14:paraId="4B84EA94" w14:textId="77777777" w:rsidR="003C0F0B" w:rsidRDefault="00000000">
            <w:pPr>
              <w:spacing w:line="260" w:lineRule="auto"/>
            </w:pPr>
            <w:r>
              <w:rPr>
                <w:rFonts w:ascii="Calibri" w:eastAsia="Calibri" w:hAnsi="Calibri" w:cs="Calibri"/>
                <w:color w:val="1A2530"/>
              </w:rPr>
              <w:t>3</w:t>
            </w:r>
          </w:p>
        </w:tc>
        <w:tc>
          <w:tcPr>
            <w:tcW w:w="1600" w:type="dxa"/>
            <w:tcMar>
              <w:top w:w="100" w:type="dxa"/>
              <w:left w:w="120" w:type="dxa"/>
              <w:bottom w:w="100" w:type="dxa"/>
              <w:right w:w="120" w:type="dxa"/>
            </w:tcMar>
          </w:tcPr>
          <w:p w14:paraId="45281392" w14:textId="77777777" w:rsidR="003C0F0B" w:rsidRDefault="00000000">
            <w:pPr>
              <w:spacing w:line="260" w:lineRule="auto"/>
            </w:pPr>
            <w:r>
              <w:rPr>
                <w:rFonts w:ascii="Calibri" w:eastAsia="Calibri" w:hAnsi="Calibri" w:cs="Calibri"/>
                <w:b/>
                <w:bCs/>
                <w:color w:val="38976F"/>
              </w:rPr>
              <w:t>Scope expansion</w:t>
            </w:r>
          </w:p>
        </w:tc>
        <w:tc>
          <w:tcPr>
            <w:tcW w:w="4000" w:type="dxa"/>
            <w:tcMar>
              <w:top w:w="100" w:type="dxa"/>
              <w:left w:w="120" w:type="dxa"/>
              <w:bottom w:w="100" w:type="dxa"/>
              <w:right w:w="120" w:type="dxa"/>
            </w:tcMar>
          </w:tcPr>
          <w:p w14:paraId="2D839FC8" w14:textId="77777777" w:rsidR="003C0F0B" w:rsidRDefault="00000000">
            <w:pPr>
              <w:spacing w:line="260" w:lineRule="auto"/>
            </w:pPr>
            <w:r>
              <w:rPr>
                <w:rFonts w:ascii="Calibri" w:eastAsia="Calibri" w:hAnsi="Calibri" w:cs="Calibri"/>
                <w:color w:val="1A2530"/>
              </w:rPr>
              <w:t>Extend the tool beyond Inventory to cover every accounting standard where Ind AS and US GAAP genuinely differ; add a standard-selection control (supporting single or multiple selections) labelled with both the Ind AS number and the US GAAP reference; treat the upload as a journal extract; provide an upload template containing sample transactions.</w:t>
            </w:r>
          </w:p>
        </w:tc>
        <w:tc>
          <w:tcPr>
            <w:tcW w:w="3980" w:type="dxa"/>
            <w:tcMar>
              <w:top w:w="100" w:type="dxa"/>
              <w:left w:w="120" w:type="dxa"/>
              <w:bottom w:w="100" w:type="dxa"/>
              <w:right w:w="120" w:type="dxa"/>
            </w:tcMar>
          </w:tcPr>
          <w:p w14:paraId="2D958A08" w14:textId="77777777" w:rsidR="003C0F0B" w:rsidRDefault="00000000">
            <w:pPr>
              <w:spacing w:line="260" w:lineRule="auto"/>
            </w:pPr>
            <w:r>
              <w:rPr>
                <w:rFonts w:ascii="Calibri" w:eastAsia="Calibri" w:hAnsi="Calibri" w:cs="Calibri"/>
                <w:color w:val="1A2530"/>
              </w:rPr>
              <w:t>Selected five standards where the difference is mechanically computable from transaction data (Inventory, PP&amp;E, Impairment, Intangibles, Employee Benefits), flagged that standards needing judgement-heavy inputs (leases, financial instruments, income taxes) were out of scope, and shipped a multi-sheet journal-extract template with one sheet per standard.</w:t>
            </w:r>
          </w:p>
        </w:tc>
      </w:tr>
      <w:tr w:rsidR="003C0F0B" w14:paraId="7879FA03" w14:textId="77777777">
        <w:tblPrEx>
          <w:tblCellMar>
            <w:top w:w="0" w:type="dxa"/>
            <w:bottom w:w="0" w:type="dxa"/>
          </w:tblCellMar>
        </w:tblPrEx>
        <w:tc>
          <w:tcPr>
            <w:tcW w:w="500" w:type="dxa"/>
            <w:tcMar>
              <w:top w:w="100" w:type="dxa"/>
              <w:left w:w="120" w:type="dxa"/>
              <w:bottom w:w="100" w:type="dxa"/>
              <w:right w:w="120" w:type="dxa"/>
            </w:tcMar>
          </w:tcPr>
          <w:p w14:paraId="2C516752" w14:textId="77777777" w:rsidR="003C0F0B" w:rsidRDefault="00000000">
            <w:pPr>
              <w:spacing w:line="260" w:lineRule="auto"/>
            </w:pPr>
            <w:r>
              <w:rPr>
                <w:rFonts w:ascii="Calibri" w:eastAsia="Calibri" w:hAnsi="Calibri" w:cs="Calibri"/>
                <w:color w:val="1A2530"/>
              </w:rPr>
              <w:t>4</w:t>
            </w:r>
          </w:p>
        </w:tc>
        <w:tc>
          <w:tcPr>
            <w:tcW w:w="1600" w:type="dxa"/>
            <w:tcMar>
              <w:top w:w="100" w:type="dxa"/>
              <w:left w:w="120" w:type="dxa"/>
              <w:bottom w:w="100" w:type="dxa"/>
              <w:right w:w="120" w:type="dxa"/>
            </w:tcMar>
          </w:tcPr>
          <w:p w14:paraId="49F5700F" w14:textId="77777777" w:rsidR="003C0F0B" w:rsidRDefault="00000000">
            <w:pPr>
              <w:spacing w:line="260" w:lineRule="auto"/>
            </w:pPr>
            <w:r>
              <w:rPr>
                <w:rFonts w:ascii="Calibri" w:eastAsia="Calibri" w:hAnsi="Calibri" w:cs="Calibri"/>
                <w:b/>
                <w:bCs/>
                <w:color w:val="38976F"/>
              </w:rPr>
              <w:t>File-dialog defect (raised, then reverted)</w:t>
            </w:r>
          </w:p>
        </w:tc>
        <w:tc>
          <w:tcPr>
            <w:tcW w:w="4000" w:type="dxa"/>
            <w:tcMar>
              <w:top w:w="100" w:type="dxa"/>
              <w:left w:w="120" w:type="dxa"/>
              <w:bottom w:w="100" w:type="dxa"/>
              <w:right w:w="120" w:type="dxa"/>
            </w:tcMar>
          </w:tcPr>
          <w:p w14:paraId="67D8BCEC" w14:textId="77777777" w:rsidR="003C0F0B" w:rsidRDefault="00000000">
            <w:pPr>
              <w:spacing w:line="260" w:lineRule="auto"/>
            </w:pPr>
            <w:r>
              <w:rPr>
                <w:rFonts w:ascii="Calibri" w:eastAsia="Calibri" w:hAnsi="Calibri" w:cs="Calibri"/>
                <w:color w:val="1A2530"/>
              </w:rPr>
              <w:t>The Browse button's file-open dialog would not allow navigating into folders on the user's machine.</w:t>
            </w:r>
          </w:p>
        </w:tc>
        <w:tc>
          <w:tcPr>
            <w:tcW w:w="3980" w:type="dxa"/>
            <w:tcMar>
              <w:top w:w="100" w:type="dxa"/>
              <w:left w:w="120" w:type="dxa"/>
              <w:bottom w:w="100" w:type="dxa"/>
              <w:right w:w="120" w:type="dxa"/>
            </w:tcMar>
          </w:tcPr>
          <w:p w14:paraId="00D4A2E6" w14:textId="77777777" w:rsidR="003C0F0B" w:rsidRDefault="00000000">
            <w:pPr>
              <w:spacing w:line="260" w:lineRule="auto"/>
            </w:pPr>
            <w:r>
              <w:rPr>
                <w:rFonts w:ascii="Calibri" w:eastAsia="Calibri" w:hAnsi="Calibri" w:cs="Calibri"/>
                <w:color w:val="1A2530"/>
              </w:rPr>
              <w:t xml:space="preserve">Attempted a fix using a non-native Qt file dialog and, on a follow-up report that the issue persisted, added an alternative folder-listing / manual path-entry workflow. The user preferred the original Browse-button </w:t>
            </w:r>
            <w:r>
              <w:rPr>
                <w:rFonts w:ascii="Calibri" w:eastAsia="Calibri" w:hAnsi="Calibri" w:cs="Calibri"/>
                <w:color w:val="1A2530"/>
              </w:rPr>
              <w:lastRenderedPageBreak/>
              <w:t>experience, so this alternative UI was reverted at the user's request, keeping only the underlying dialog-compatibility fix.</w:t>
            </w:r>
          </w:p>
        </w:tc>
      </w:tr>
      <w:tr w:rsidR="003C0F0B" w14:paraId="50370B7C" w14:textId="77777777">
        <w:tblPrEx>
          <w:tblCellMar>
            <w:top w:w="0" w:type="dxa"/>
            <w:bottom w:w="0" w:type="dxa"/>
          </w:tblCellMar>
        </w:tblPrEx>
        <w:tc>
          <w:tcPr>
            <w:tcW w:w="500" w:type="dxa"/>
            <w:tcMar>
              <w:top w:w="100" w:type="dxa"/>
              <w:left w:w="120" w:type="dxa"/>
              <w:bottom w:w="100" w:type="dxa"/>
              <w:right w:w="120" w:type="dxa"/>
            </w:tcMar>
          </w:tcPr>
          <w:p w14:paraId="7A794896" w14:textId="77777777" w:rsidR="003C0F0B" w:rsidRDefault="00000000">
            <w:pPr>
              <w:spacing w:line="260" w:lineRule="auto"/>
            </w:pPr>
            <w:r>
              <w:rPr>
                <w:rFonts w:ascii="Calibri" w:eastAsia="Calibri" w:hAnsi="Calibri" w:cs="Calibri"/>
                <w:color w:val="1A2530"/>
              </w:rPr>
              <w:lastRenderedPageBreak/>
              <w:t>5</w:t>
            </w:r>
          </w:p>
        </w:tc>
        <w:tc>
          <w:tcPr>
            <w:tcW w:w="1600" w:type="dxa"/>
            <w:tcMar>
              <w:top w:w="100" w:type="dxa"/>
              <w:left w:w="120" w:type="dxa"/>
              <w:bottom w:w="100" w:type="dxa"/>
              <w:right w:w="120" w:type="dxa"/>
            </w:tcMar>
          </w:tcPr>
          <w:p w14:paraId="19E2A5D8" w14:textId="77777777" w:rsidR="003C0F0B" w:rsidRDefault="00000000">
            <w:pPr>
              <w:spacing w:line="260" w:lineRule="auto"/>
            </w:pPr>
            <w:r>
              <w:rPr>
                <w:rFonts w:ascii="Calibri" w:eastAsia="Calibri" w:hAnsi="Calibri" w:cs="Calibri"/>
                <w:b/>
                <w:bCs/>
                <w:color w:val="38976F"/>
              </w:rPr>
              <w:t>Upload format exploration (implemented, then reverted)</w:t>
            </w:r>
          </w:p>
        </w:tc>
        <w:tc>
          <w:tcPr>
            <w:tcW w:w="4000" w:type="dxa"/>
            <w:tcMar>
              <w:top w:w="100" w:type="dxa"/>
              <w:left w:w="120" w:type="dxa"/>
              <w:bottom w:w="100" w:type="dxa"/>
              <w:right w:w="120" w:type="dxa"/>
            </w:tcMar>
          </w:tcPr>
          <w:p w14:paraId="270112FB" w14:textId="77777777" w:rsidR="003C0F0B" w:rsidRDefault="00000000">
            <w:pPr>
              <w:spacing w:line="260" w:lineRule="auto"/>
            </w:pPr>
            <w:r>
              <w:rPr>
                <w:rFonts w:ascii="Calibri" w:eastAsia="Calibri" w:hAnsi="Calibri" w:cs="Calibri"/>
                <w:color w:val="1A2530"/>
              </w:rPr>
              <w:t>Explore consolidating the multi-sheet journal extract into a single sheet, trial-balance style, with all transactions listed one below another and tagged by standard.</w:t>
            </w:r>
          </w:p>
        </w:tc>
        <w:tc>
          <w:tcPr>
            <w:tcW w:w="3980" w:type="dxa"/>
            <w:tcMar>
              <w:top w:w="100" w:type="dxa"/>
              <w:left w:w="120" w:type="dxa"/>
              <w:bottom w:w="100" w:type="dxa"/>
              <w:right w:w="120" w:type="dxa"/>
            </w:tcMar>
          </w:tcPr>
          <w:p w14:paraId="6F41F3E8" w14:textId="77777777" w:rsidR="003C0F0B" w:rsidRDefault="00000000">
            <w:pPr>
              <w:spacing w:line="260" w:lineRule="auto"/>
            </w:pPr>
            <w:r>
              <w:rPr>
                <w:rFonts w:ascii="Calibri" w:eastAsia="Calibri" w:hAnsi="Calibri" w:cs="Calibri"/>
                <w:color w:val="1A2530"/>
              </w:rPr>
              <w:t>Implemented and verified the single-sheet, tag-based format end to end. The user decided to keep the earlier multi-sheet-per-standard format instead, so this change was reverted.</w:t>
            </w:r>
          </w:p>
        </w:tc>
      </w:tr>
      <w:tr w:rsidR="003C0F0B" w14:paraId="5DAC5E0A" w14:textId="77777777">
        <w:tblPrEx>
          <w:tblCellMar>
            <w:top w:w="0" w:type="dxa"/>
            <w:bottom w:w="0" w:type="dxa"/>
          </w:tblCellMar>
        </w:tblPrEx>
        <w:tc>
          <w:tcPr>
            <w:tcW w:w="500" w:type="dxa"/>
            <w:tcMar>
              <w:top w:w="100" w:type="dxa"/>
              <w:left w:w="120" w:type="dxa"/>
              <w:bottom w:w="100" w:type="dxa"/>
              <w:right w:w="120" w:type="dxa"/>
            </w:tcMar>
          </w:tcPr>
          <w:p w14:paraId="6AC065CB" w14:textId="77777777" w:rsidR="003C0F0B" w:rsidRDefault="00000000">
            <w:pPr>
              <w:spacing w:line="260" w:lineRule="auto"/>
            </w:pPr>
            <w:r>
              <w:rPr>
                <w:rFonts w:ascii="Calibri" w:eastAsia="Calibri" w:hAnsi="Calibri" w:cs="Calibri"/>
                <w:color w:val="1A2530"/>
              </w:rPr>
              <w:t>6</w:t>
            </w:r>
          </w:p>
        </w:tc>
        <w:tc>
          <w:tcPr>
            <w:tcW w:w="1600" w:type="dxa"/>
            <w:tcMar>
              <w:top w:w="100" w:type="dxa"/>
              <w:left w:w="120" w:type="dxa"/>
              <w:bottom w:w="100" w:type="dxa"/>
              <w:right w:w="120" w:type="dxa"/>
            </w:tcMar>
          </w:tcPr>
          <w:p w14:paraId="720DFD1A" w14:textId="77777777" w:rsidR="003C0F0B" w:rsidRDefault="00000000">
            <w:pPr>
              <w:spacing w:line="260" w:lineRule="auto"/>
            </w:pPr>
            <w:r>
              <w:rPr>
                <w:rFonts w:ascii="Calibri" w:eastAsia="Calibri" w:hAnsi="Calibri" w:cs="Calibri"/>
                <w:b/>
                <w:bCs/>
                <w:color w:val="38976F"/>
              </w:rPr>
              <w:t>Trial Balance &amp; full financial statements</w:t>
            </w:r>
          </w:p>
        </w:tc>
        <w:tc>
          <w:tcPr>
            <w:tcW w:w="4000" w:type="dxa"/>
            <w:tcMar>
              <w:top w:w="100" w:type="dxa"/>
              <w:left w:w="120" w:type="dxa"/>
              <w:bottom w:w="100" w:type="dxa"/>
              <w:right w:w="120" w:type="dxa"/>
            </w:tcMar>
          </w:tcPr>
          <w:p w14:paraId="1DB3BEEA" w14:textId="77777777" w:rsidR="003C0F0B" w:rsidRDefault="00000000">
            <w:pPr>
              <w:spacing w:line="260" w:lineRule="auto"/>
            </w:pPr>
            <w:r>
              <w:rPr>
                <w:rFonts w:ascii="Calibri" w:eastAsia="Calibri" w:hAnsi="Calibri" w:cs="Calibri"/>
                <w:color w:val="1A2530"/>
              </w:rPr>
              <w:t xml:space="preserve">Accept a Trial Balance upload alongside the journal </w:t>
            </w:r>
            <w:proofErr w:type="gramStart"/>
            <w:r>
              <w:rPr>
                <w:rFonts w:ascii="Calibri" w:eastAsia="Calibri" w:hAnsi="Calibri" w:cs="Calibri"/>
                <w:color w:val="1A2530"/>
              </w:rPr>
              <w:t>extract, and</w:t>
            </w:r>
            <w:proofErr w:type="gramEnd"/>
            <w:r>
              <w:rPr>
                <w:rFonts w:ascii="Calibri" w:eastAsia="Calibri" w:hAnsi="Calibri" w:cs="Calibri"/>
                <w:color w:val="1A2530"/>
              </w:rPr>
              <w:t xml:space="preserve"> generate complete Ind AS and US GAAP financial statements from it — keeping the existing standard-by-standard entries and reconciliation views unchanged, and touching only the upload step and the financial-statement view.</w:t>
            </w:r>
          </w:p>
        </w:tc>
        <w:tc>
          <w:tcPr>
            <w:tcW w:w="3980" w:type="dxa"/>
            <w:tcMar>
              <w:top w:w="100" w:type="dxa"/>
              <w:left w:w="120" w:type="dxa"/>
              <w:bottom w:w="100" w:type="dxa"/>
              <w:right w:w="120" w:type="dxa"/>
            </w:tcMar>
          </w:tcPr>
          <w:p w14:paraId="13AFE337" w14:textId="77777777" w:rsidR="003C0F0B" w:rsidRDefault="00000000">
            <w:pPr>
              <w:spacing w:line="260" w:lineRule="auto"/>
            </w:pPr>
            <w:r>
              <w:rPr>
                <w:rFonts w:ascii="Calibri" w:eastAsia="Calibri" w:hAnsi="Calibri" w:cs="Calibri"/>
                <w:color w:val="1A2530"/>
              </w:rPr>
              <w:t>Added a Trial Balance sheet to the upload template; built a financial-statement engine that applies each selected standard's Ind AS/US GAAP adjustment on top of the Trial Balance to produce a full Profit &amp; Loss and Balance Sheet for both frameworks, with the balance-sheet identity verified programmatically.</w:t>
            </w:r>
          </w:p>
        </w:tc>
      </w:tr>
      <w:tr w:rsidR="003C0F0B" w14:paraId="17AE4154" w14:textId="77777777">
        <w:tblPrEx>
          <w:tblCellMar>
            <w:top w:w="0" w:type="dxa"/>
            <w:bottom w:w="0" w:type="dxa"/>
          </w:tblCellMar>
        </w:tblPrEx>
        <w:tc>
          <w:tcPr>
            <w:tcW w:w="500" w:type="dxa"/>
            <w:tcMar>
              <w:top w:w="100" w:type="dxa"/>
              <w:left w:w="120" w:type="dxa"/>
              <w:bottom w:w="100" w:type="dxa"/>
              <w:right w:w="120" w:type="dxa"/>
            </w:tcMar>
          </w:tcPr>
          <w:p w14:paraId="38A09427" w14:textId="77777777" w:rsidR="003C0F0B" w:rsidRDefault="00000000">
            <w:pPr>
              <w:spacing w:line="260" w:lineRule="auto"/>
            </w:pPr>
            <w:r>
              <w:rPr>
                <w:rFonts w:ascii="Calibri" w:eastAsia="Calibri" w:hAnsi="Calibri" w:cs="Calibri"/>
                <w:color w:val="1A2530"/>
              </w:rPr>
              <w:t>7</w:t>
            </w:r>
          </w:p>
        </w:tc>
        <w:tc>
          <w:tcPr>
            <w:tcW w:w="1600" w:type="dxa"/>
            <w:tcMar>
              <w:top w:w="100" w:type="dxa"/>
              <w:left w:w="120" w:type="dxa"/>
              <w:bottom w:w="100" w:type="dxa"/>
              <w:right w:w="120" w:type="dxa"/>
            </w:tcMar>
          </w:tcPr>
          <w:p w14:paraId="036072F0" w14:textId="77777777" w:rsidR="003C0F0B" w:rsidRDefault="00000000">
            <w:pPr>
              <w:spacing w:line="260" w:lineRule="auto"/>
            </w:pPr>
            <w:r>
              <w:rPr>
                <w:rFonts w:ascii="Calibri" w:eastAsia="Calibri" w:hAnsi="Calibri" w:cs="Calibri"/>
                <w:b/>
                <w:bCs/>
                <w:color w:val="38976F"/>
              </w:rPr>
              <w:t>Statement formatting correction</w:t>
            </w:r>
          </w:p>
        </w:tc>
        <w:tc>
          <w:tcPr>
            <w:tcW w:w="4000" w:type="dxa"/>
            <w:tcMar>
              <w:top w:w="100" w:type="dxa"/>
              <w:left w:w="120" w:type="dxa"/>
              <w:bottom w:w="100" w:type="dxa"/>
              <w:right w:w="120" w:type="dxa"/>
            </w:tcMar>
          </w:tcPr>
          <w:p w14:paraId="262621B4" w14:textId="77777777" w:rsidR="003C0F0B" w:rsidRDefault="00000000">
            <w:pPr>
              <w:spacing w:line="260" w:lineRule="auto"/>
            </w:pPr>
            <w:r>
              <w:rPr>
                <w:rFonts w:ascii="Calibri" w:eastAsia="Calibri" w:hAnsi="Calibri" w:cs="Calibri"/>
                <w:color w:val="1A2530"/>
              </w:rPr>
              <w:t>The generated financial statements did not follow the real presentation formats used under each framework; format them properly for Ind AS and for US GAAP.</w:t>
            </w:r>
          </w:p>
        </w:tc>
        <w:tc>
          <w:tcPr>
            <w:tcW w:w="3980" w:type="dxa"/>
            <w:tcMar>
              <w:top w:w="100" w:type="dxa"/>
              <w:left w:w="120" w:type="dxa"/>
              <w:bottom w:w="100" w:type="dxa"/>
              <w:right w:w="120" w:type="dxa"/>
            </w:tcMar>
          </w:tcPr>
          <w:p w14:paraId="1FE7B8EE" w14:textId="77777777" w:rsidR="003C0F0B" w:rsidRDefault="00000000">
            <w:pPr>
              <w:spacing w:line="260" w:lineRule="auto"/>
            </w:pPr>
            <w:r>
              <w:rPr>
                <w:rFonts w:ascii="Calibri" w:eastAsia="Calibri" w:hAnsi="Calibri" w:cs="Calibri"/>
                <w:color w:val="1A2530"/>
              </w:rPr>
              <w:t>Rebuilt the Profit &amp; Loss and Balance Sheet in each framework's native layout — Schedule III style (Equity &amp; Liabilities before Assets) for Ind AS, and a classified format (Assets before Liabilities &amp; Equity, with US terminology) for US GAAP.</w:t>
            </w:r>
          </w:p>
        </w:tc>
      </w:tr>
      <w:tr w:rsidR="003C0F0B" w14:paraId="4F17DDF8" w14:textId="77777777">
        <w:tblPrEx>
          <w:tblCellMar>
            <w:top w:w="0" w:type="dxa"/>
            <w:bottom w:w="0" w:type="dxa"/>
          </w:tblCellMar>
        </w:tblPrEx>
        <w:tc>
          <w:tcPr>
            <w:tcW w:w="500" w:type="dxa"/>
            <w:tcMar>
              <w:top w:w="100" w:type="dxa"/>
              <w:left w:w="120" w:type="dxa"/>
              <w:bottom w:w="100" w:type="dxa"/>
              <w:right w:w="120" w:type="dxa"/>
            </w:tcMar>
          </w:tcPr>
          <w:p w14:paraId="130CF634" w14:textId="77777777" w:rsidR="003C0F0B" w:rsidRDefault="00000000">
            <w:pPr>
              <w:spacing w:line="260" w:lineRule="auto"/>
            </w:pPr>
            <w:r>
              <w:rPr>
                <w:rFonts w:ascii="Calibri" w:eastAsia="Calibri" w:hAnsi="Calibri" w:cs="Calibri"/>
                <w:color w:val="1A2530"/>
              </w:rPr>
              <w:t>8</w:t>
            </w:r>
          </w:p>
        </w:tc>
        <w:tc>
          <w:tcPr>
            <w:tcW w:w="1600" w:type="dxa"/>
            <w:tcMar>
              <w:top w:w="100" w:type="dxa"/>
              <w:left w:w="120" w:type="dxa"/>
              <w:bottom w:w="100" w:type="dxa"/>
              <w:right w:w="120" w:type="dxa"/>
            </w:tcMar>
          </w:tcPr>
          <w:p w14:paraId="734DF5B0" w14:textId="77777777" w:rsidR="003C0F0B" w:rsidRDefault="00000000">
            <w:pPr>
              <w:spacing w:line="260" w:lineRule="auto"/>
            </w:pPr>
            <w:r>
              <w:rPr>
                <w:rFonts w:ascii="Calibri" w:eastAsia="Calibri" w:hAnsi="Calibri" w:cs="Calibri"/>
                <w:b/>
                <w:bCs/>
                <w:color w:val="38976F"/>
              </w:rPr>
              <w:t>Other Comprehensive Income gap</w:t>
            </w:r>
          </w:p>
        </w:tc>
        <w:tc>
          <w:tcPr>
            <w:tcW w:w="4000" w:type="dxa"/>
            <w:tcMar>
              <w:top w:w="100" w:type="dxa"/>
              <w:left w:w="120" w:type="dxa"/>
              <w:bottom w:w="100" w:type="dxa"/>
              <w:right w:w="120" w:type="dxa"/>
            </w:tcMar>
          </w:tcPr>
          <w:p w14:paraId="10D7681D" w14:textId="77777777" w:rsidR="003C0F0B" w:rsidRDefault="00000000">
            <w:pPr>
              <w:spacing w:line="260" w:lineRule="auto"/>
            </w:pPr>
            <w:r>
              <w:rPr>
                <w:rFonts w:ascii="Calibri" w:eastAsia="Calibri" w:hAnsi="Calibri" w:cs="Calibri"/>
                <w:color w:val="1A2530"/>
              </w:rPr>
              <w:t>The Ind AS Statement of Profit and Loss was missing its Other Comprehensive Income section, which Schedule III requires.</w:t>
            </w:r>
          </w:p>
        </w:tc>
        <w:tc>
          <w:tcPr>
            <w:tcW w:w="3980" w:type="dxa"/>
            <w:tcMar>
              <w:top w:w="100" w:type="dxa"/>
              <w:left w:w="120" w:type="dxa"/>
              <w:bottom w:w="100" w:type="dxa"/>
              <w:right w:w="120" w:type="dxa"/>
            </w:tcMar>
          </w:tcPr>
          <w:p w14:paraId="32C1C7B9" w14:textId="77777777" w:rsidR="003C0F0B" w:rsidRDefault="00000000">
            <w:pPr>
              <w:spacing w:line="260" w:lineRule="auto"/>
            </w:pPr>
            <w:r>
              <w:rPr>
                <w:rFonts w:ascii="Calibri" w:eastAsia="Calibri" w:hAnsi="Calibri" w:cs="Calibri"/>
                <w:color w:val="1A2530"/>
              </w:rPr>
              <w:t xml:space="preserve">Added an Other Comprehensive Income section and a Total Comprehensive Income line to both the Ind AS and US GAAP statements, sourced from the standards that </w:t>
            </w:r>
            <w:proofErr w:type="gramStart"/>
            <w:r>
              <w:rPr>
                <w:rFonts w:ascii="Calibri" w:eastAsia="Calibri" w:hAnsi="Calibri" w:cs="Calibri"/>
                <w:color w:val="1A2530"/>
              </w:rPr>
              <w:t>actually generate</w:t>
            </w:r>
            <w:proofErr w:type="gramEnd"/>
            <w:r>
              <w:rPr>
                <w:rFonts w:ascii="Calibri" w:eastAsia="Calibri" w:hAnsi="Calibri" w:cs="Calibri"/>
                <w:color w:val="1A2530"/>
              </w:rPr>
              <w:t xml:space="preserve"> OCI movements, and cross-checked against the existing reconciliation figures.</w:t>
            </w:r>
          </w:p>
        </w:tc>
      </w:tr>
      <w:tr w:rsidR="003C0F0B" w14:paraId="4D471335" w14:textId="77777777">
        <w:tblPrEx>
          <w:tblCellMar>
            <w:top w:w="0" w:type="dxa"/>
            <w:bottom w:w="0" w:type="dxa"/>
          </w:tblCellMar>
        </w:tblPrEx>
        <w:tc>
          <w:tcPr>
            <w:tcW w:w="500" w:type="dxa"/>
            <w:tcMar>
              <w:top w:w="100" w:type="dxa"/>
              <w:left w:w="120" w:type="dxa"/>
              <w:bottom w:w="100" w:type="dxa"/>
              <w:right w:w="120" w:type="dxa"/>
            </w:tcMar>
          </w:tcPr>
          <w:p w14:paraId="61AB6429" w14:textId="77777777" w:rsidR="003C0F0B" w:rsidRDefault="00000000">
            <w:pPr>
              <w:spacing w:line="260" w:lineRule="auto"/>
            </w:pPr>
            <w:r>
              <w:rPr>
                <w:rFonts w:ascii="Calibri" w:eastAsia="Calibri" w:hAnsi="Calibri" w:cs="Calibri"/>
                <w:color w:val="1A2530"/>
              </w:rPr>
              <w:t>9</w:t>
            </w:r>
          </w:p>
        </w:tc>
        <w:tc>
          <w:tcPr>
            <w:tcW w:w="1600" w:type="dxa"/>
            <w:tcMar>
              <w:top w:w="100" w:type="dxa"/>
              <w:left w:w="120" w:type="dxa"/>
              <w:bottom w:w="100" w:type="dxa"/>
              <w:right w:w="120" w:type="dxa"/>
            </w:tcMar>
          </w:tcPr>
          <w:p w14:paraId="072E5669" w14:textId="77777777" w:rsidR="003C0F0B" w:rsidRDefault="00000000">
            <w:pPr>
              <w:spacing w:line="260" w:lineRule="auto"/>
            </w:pPr>
            <w:r>
              <w:rPr>
                <w:rFonts w:ascii="Calibri" w:eastAsia="Calibri" w:hAnsi="Calibri" w:cs="Calibri"/>
                <w:b/>
                <w:bCs/>
                <w:color w:val="38976F"/>
              </w:rPr>
              <w:t>Verification pass</w:t>
            </w:r>
          </w:p>
        </w:tc>
        <w:tc>
          <w:tcPr>
            <w:tcW w:w="4000" w:type="dxa"/>
            <w:tcMar>
              <w:top w:w="100" w:type="dxa"/>
              <w:left w:w="120" w:type="dxa"/>
              <w:bottom w:w="100" w:type="dxa"/>
              <w:right w:w="120" w:type="dxa"/>
            </w:tcMar>
          </w:tcPr>
          <w:p w14:paraId="17B5A1A2" w14:textId="77777777" w:rsidR="003C0F0B" w:rsidRDefault="00000000">
            <w:pPr>
              <w:spacing w:line="260" w:lineRule="auto"/>
            </w:pPr>
            <w:r>
              <w:rPr>
                <w:rFonts w:ascii="Calibri" w:eastAsia="Calibri" w:hAnsi="Calibri" w:cs="Calibri"/>
                <w:color w:val="1A2530"/>
              </w:rPr>
              <w:t>Run the application and confirm the recent changes work correctly before sharing.</w:t>
            </w:r>
          </w:p>
        </w:tc>
        <w:tc>
          <w:tcPr>
            <w:tcW w:w="3980" w:type="dxa"/>
            <w:tcMar>
              <w:top w:w="100" w:type="dxa"/>
              <w:left w:w="120" w:type="dxa"/>
              <w:bottom w:w="100" w:type="dxa"/>
              <w:right w:w="120" w:type="dxa"/>
            </w:tcMar>
          </w:tcPr>
          <w:p w14:paraId="2E069321" w14:textId="77777777" w:rsidR="003C0F0B" w:rsidRDefault="00000000">
            <w:pPr>
              <w:spacing w:line="260" w:lineRule="auto"/>
            </w:pPr>
            <w:r>
              <w:rPr>
                <w:rFonts w:ascii="Calibri" w:eastAsia="Calibri" w:hAnsi="Calibri" w:cs="Calibri"/>
                <w:color w:val="1A2530"/>
              </w:rPr>
              <w:t>Executed the application end to end (including a headless UI smoke test), verified the accounting figures were unchanged by the preceding UI and formatting work, and corrected one sign-convention defect found during that testing before sharing the file.</w:t>
            </w:r>
          </w:p>
        </w:tc>
      </w:tr>
      <w:tr w:rsidR="003C0F0B" w14:paraId="391F68C1" w14:textId="77777777">
        <w:tblPrEx>
          <w:tblCellMar>
            <w:top w:w="0" w:type="dxa"/>
            <w:bottom w:w="0" w:type="dxa"/>
          </w:tblCellMar>
        </w:tblPrEx>
        <w:tc>
          <w:tcPr>
            <w:tcW w:w="500" w:type="dxa"/>
            <w:tcMar>
              <w:top w:w="100" w:type="dxa"/>
              <w:left w:w="120" w:type="dxa"/>
              <w:bottom w:w="100" w:type="dxa"/>
              <w:right w:w="120" w:type="dxa"/>
            </w:tcMar>
          </w:tcPr>
          <w:p w14:paraId="3AB8B743" w14:textId="77777777" w:rsidR="003C0F0B" w:rsidRDefault="00000000">
            <w:pPr>
              <w:spacing w:line="260" w:lineRule="auto"/>
            </w:pPr>
            <w:r>
              <w:rPr>
                <w:rFonts w:ascii="Calibri" w:eastAsia="Calibri" w:hAnsi="Calibri" w:cs="Calibri"/>
                <w:color w:val="1A2530"/>
              </w:rPr>
              <w:t>10</w:t>
            </w:r>
          </w:p>
        </w:tc>
        <w:tc>
          <w:tcPr>
            <w:tcW w:w="1600" w:type="dxa"/>
            <w:tcMar>
              <w:top w:w="100" w:type="dxa"/>
              <w:left w:w="120" w:type="dxa"/>
              <w:bottom w:w="100" w:type="dxa"/>
              <w:right w:w="120" w:type="dxa"/>
            </w:tcMar>
          </w:tcPr>
          <w:p w14:paraId="5B5B6B77" w14:textId="77777777" w:rsidR="003C0F0B" w:rsidRDefault="00000000">
            <w:pPr>
              <w:spacing w:line="260" w:lineRule="auto"/>
            </w:pPr>
            <w:r>
              <w:rPr>
                <w:rFonts w:ascii="Calibri" w:eastAsia="Calibri" w:hAnsi="Calibri" w:cs="Calibri"/>
                <w:b/>
                <w:bCs/>
                <w:color w:val="38976F"/>
              </w:rPr>
              <w:t>Full UI refactor</w:t>
            </w:r>
          </w:p>
        </w:tc>
        <w:tc>
          <w:tcPr>
            <w:tcW w:w="4000" w:type="dxa"/>
            <w:tcMar>
              <w:top w:w="100" w:type="dxa"/>
              <w:left w:w="120" w:type="dxa"/>
              <w:bottom w:w="100" w:type="dxa"/>
              <w:right w:w="120" w:type="dxa"/>
            </w:tcMar>
          </w:tcPr>
          <w:p w14:paraId="5D36A42C" w14:textId="77777777" w:rsidR="003C0F0B" w:rsidRDefault="00000000">
            <w:pPr>
              <w:spacing w:line="260" w:lineRule="auto"/>
            </w:pPr>
            <w:r>
              <w:rPr>
                <w:rFonts w:ascii="Calibri" w:eastAsia="Calibri" w:hAnsi="Calibri" w:cs="Calibri"/>
                <w:color w:val="1A2530"/>
              </w:rPr>
              <w:t>Refactor the visual design of the application to a supplied specification: a formal design-token system, a stepper-style navigation bar, a persistent status bar, redesigned upload and standard-selection screens, a two-column accounting-treatment comparison layout, and a properly formatted reconciliation table — without altering any calculation logic.</w:t>
            </w:r>
          </w:p>
        </w:tc>
        <w:tc>
          <w:tcPr>
            <w:tcW w:w="3980" w:type="dxa"/>
            <w:tcMar>
              <w:top w:w="100" w:type="dxa"/>
              <w:left w:w="120" w:type="dxa"/>
              <w:bottom w:w="100" w:type="dxa"/>
              <w:right w:w="120" w:type="dxa"/>
            </w:tcMar>
          </w:tcPr>
          <w:p w14:paraId="14451410" w14:textId="77777777" w:rsidR="003C0F0B" w:rsidRDefault="00000000">
            <w:pPr>
              <w:spacing w:line="260" w:lineRule="auto"/>
            </w:pPr>
            <w:r>
              <w:rPr>
                <w:rFonts w:ascii="Calibri" w:eastAsia="Calibri" w:hAnsi="Calibri" w:cs="Calibri"/>
                <w:color w:val="1A2530"/>
              </w:rPr>
              <w:t xml:space="preserve">Rebuilt the presentation layer against the specification: introduced a design-token module, replaced the tab bar with a numbered stepper and a status bar, redesigned the upload screen with a checkbox-style standard selector, rebuilt the accounting-treatment view as an aligned two-column comparison, and replaced the reconciliation view with a single formatted </w:t>
            </w:r>
            <w:r>
              <w:rPr>
                <w:rFonts w:ascii="Calibri" w:eastAsia="Calibri" w:hAnsi="Calibri" w:cs="Calibri"/>
                <w:color w:val="1A2530"/>
              </w:rPr>
              <w:lastRenderedPageBreak/>
              <w:t>table — while leaving every calculation function untouched.</w:t>
            </w:r>
          </w:p>
        </w:tc>
      </w:tr>
      <w:tr w:rsidR="003C0F0B" w14:paraId="3F51A733" w14:textId="77777777">
        <w:tblPrEx>
          <w:tblCellMar>
            <w:top w:w="0" w:type="dxa"/>
            <w:bottom w:w="0" w:type="dxa"/>
          </w:tblCellMar>
        </w:tblPrEx>
        <w:tc>
          <w:tcPr>
            <w:tcW w:w="500" w:type="dxa"/>
            <w:tcMar>
              <w:top w:w="100" w:type="dxa"/>
              <w:left w:w="120" w:type="dxa"/>
              <w:bottom w:w="100" w:type="dxa"/>
              <w:right w:w="120" w:type="dxa"/>
            </w:tcMar>
          </w:tcPr>
          <w:p w14:paraId="05027DC6" w14:textId="77777777" w:rsidR="003C0F0B" w:rsidRDefault="00000000">
            <w:pPr>
              <w:spacing w:line="260" w:lineRule="auto"/>
            </w:pPr>
            <w:r>
              <w:rPr>
                <w:rFonts w:ascii="Calibri" w:eastAsia="Calibri" w:hAnsi="Calibri" w:cs="Calibri"/>
                <w:color w:val="1A2530"/>
              </w:rPr>
              <w:lastRenderedPageBreak/>
              <w:t>11</w:t>
            </w:r>
          </w:p>
        </w:tc>
        <w:tc>
          <w:tcPr>
            <w:tcW w:w="1600" w:type="dxa"/>
            <w:tcMar>
              <w:top w:w="100" w:type="dxa"/>
              <w:left w:w="120" w:type="dxa"/>
              <w:bottom w:w="100" w:type="dxa"/>
              <w:right w:w="120" w:type="dxa"/>
            </w:tcMar>
          </w:tcPr>
          <w:p w14:paraId="4B9FB73F" w14:textId="77777777" w:rsidR="003C0F0B" w:rsidRDefault="00000000">
            <w:pPr>
              <w:spacing w:line="260" w:lineRule="auto"/>
            </w:pPr>
            <w:r>
              <w:rPr>
                <w:rFonts w:ascii="Calibri" w:eastAsia="Calibri" w:hAnsi="Calibri" w:cs="Calibri"/>
                <w:b/>
                <w:bCs/>
                <w:color w:val="38976F"/>
              </w:rPr>
              <w:t>Refactor verification</w:t>
            </w:r>
          </w:p>
        </w:tc>
        <w:tc>
          <w:tcPr>
            <w:tcW w:w="4000" w:type="dxa"/>
            <w:tcMar>
              <w:top w:w="100" w:type="dxa"/>
              <w:left w:w="120" w:type="dxa"/>
              <w:bottom w:w="100" w:type="dxa"/>
              <w:right w:w="120" w:type="dxa"/>
            </w:tcMar>
          </w:tcPr>
          <w:p w14:paraId="4945CD12" w14:textId="77777777" w:rsidR="003C0F0B" w:rsidRDefault="00000000">
            <w:pPr>
              <w:spacing w:line="260" w:lineRule="auto"/>
            </w:pPr>
            <w:r>
              <w:rPr>
                <w:rFonts w:ascii="Calibri" w:eastAsia="Calibri" w:hAnsi="Calibri" w:cs="Calibri"/>
                <w:color w:val="1A2530"/>
              </w:rPr>
              <w:t>Complete the outstanding verification of the UI refactor rather than assuming it was correct.</w:t>
            </w:r>
          </w:p>
        </w:tc>
        <w:tc>
          <w:tcPr>
            <w:tcW w:w="3980" w:type="dxa"/>
            <w:tcMar>
              <w:top w:w="100" w:type="dxa"/>
              <w:left w:w="120" w:type="dxa"/>
              <w:bottom w:w="100" w:type="dxa"/>
              <w:right w:w="120" w:type="dxa"/>
            </w:tcMar>
          </w:tcPr>
          <w:p w14:paraId="15D8F592" w14:textId="77777777" w:rsidR="003C0F0B" w:rsidRDefault="00000000">
            <w:pPr>
              <w:spacing w:line="260" w:lineRule="auto"/>
            </w:pPr>
            <w:r>
              <w:rPr>
                <w:rFonts w:ascii="Calibri" w:eastAsia="Calibri" w:hAnsi="Calibri" w:cs="Calibri"/>
                <w:color w:val="1A2530"/>
              </w:rPr>
              <w:t>Ran the application under a headless test harness to exercise standard selection, method changes, the load-and-calculate cycle, column-width consistency, and the reconciliation bridge; found and fixed one real defect (a text-escaping issue producing a doubled character in the reconciliation table) during that testing.</w:t>
            </w:r>
          </w:p>
        </w:tc>
      </w:tr>
      <w:tr w:rsidR="003C0F0B" w14:paraId="47ADFE21" w14:textId="77777777">
        <w:tblPrEx>
          <w:tblCellMar>
            <w:top w:w="0" w:type="dxa"/>
            <w:bottom w:w="0" w:type="dxa"/>
          </w:tblCellMar>
        </w:tblPrEx>
        <w:tc>
          <w:tcPr>
            <w:tcW w:w="500" w:type="dxa"/>
            <w:tcMar>
              <w:top w:w="100" w:type="dxa"/>
              <w:left w:w="120" w:type="dxa"/>
              <w:bottom w:w="100" w:type="dxa"/>
              <w:right w:w="120" w:type="dxa"/>
            </w:tcMar>
          </w:tcPr>
          <w:p w14:paraId="3A881C1B" w14:textId="77777777" w:rsidR="003C0F0B" w:rsidRDefault="00000000">
            <w:pPr>
              <w:spacing w:line="260" w:lineRule="auto"/>
            </w:pPr>
            <w:r>
              <w:rPr>
                <w:rFonts w:ascii="Calibri" w:eastAsia="Calibri" w:hAnsi="Calibri" w:cs="Calibri"/>
                <w:color w:val="1A2530"/>
              </w:rPr>
              <w:t>12</w:t>
            </w:r>
          </w:p>
        </w:tc>
        <w:tc>
          <w:tcPr>
            <w:tcW w:w="1600" w:type="dxa"/>
            <w:tcMar>
              <w:top w:w="100" w:type="dxa"/>
              <w:left w:w="120" w:type="dxa"/>
              <w:bottom w:w="100" w:type="dxa"/>
              <w:right w:w="120" w:type="dxa"/>
            </w:tcMar>
          </w:tcPr>
          <w:p w14:paraId="12AB03B7" w14:textId="77777777" w:rsidR="003C0F0B" w:rsidRDefault="00000000">
            <w:pPr>
              <w:spacing w:line="260" w:lineRule="auto"/>
            </w:pPr>
            <w:r>
              <w:rPr>
                <w:rFonts w:ascii="Calibri" w:eastAsia="Calibri" w:hAnsi="Calibri" w:cs="Calibri"/>
                <w:b/>
                <w:bCs/>
                <w:color w:val="38976F"/>
              </w:rPr>
              <w:t>Screenshot-driven UI fixes</w:t>
            </w:r>
          </w:p>
        </w:tc>
        <w:tc>
          <w:tcPr>
            <w:tcW w:w="4000" w:type="dxa"/>
            <w:tcMar>
              <w:top w:w="100" w:type="dxa"/>
              <w:left w:w="120" w:type="dxa"/>
              <w:bottom w:w="100" w:type="dxa"/>
              <w:right w:w="120" w:type="dxa"/>
            </w:tcMar>
          </w:tcPr>
          <w:p w14:paraId="45BA3708" w14:textId="77777777" w:rsidR="003C0F0B" w:rsidRDefault="00000000">
            <w:pPr>
              <w:spacing w:line="260" w:lineRule="auto"/>
            </w:pPr>
            <w:r>
              <w:rPr>
                <w:rFonts w:ascii="Calibri" w:eastAsia="Calibri" w:hAnsi="Calibri" w:cs="Calibri"/>
                <w:color w:val="1A2530"/>
              </w:rPr>
              <w:t>From a screenshot: the last standard's reference codes were being clipped, the inventory-method dropdowns did not indicate which standard they belonged to, and an escaping fix intended for buttons was incorrectly duplicating an ampersand character in plain labels.</w:t>
            </w:r>
          </w:p>
        </w:tc>
        <w:tc>
          <w:tcPr>
            <w:tcW w:w="3980" w:type="dxa"/>
            <w:tcMar>
              <w:top w:w="100" w:type="dxa"/>
              <w:left w:w="120" w:type="dxa"/>
              <w:bottom w:w="100" w:type="dxa"/>
              <w:right w:w="120" w:type="dxa"/>
            </w:tcMar>
          </w:tcPr>
          <w:p w14:paraId="13DE068D" w14:textId="77777777" w:rsidR="003C0F0B" w:rsidRDefault="00000000">
            <w:pPr>
              <w:spacing w:line="260" w:lineRule="auto"/>
            </w:pPr>
            <w:r>
              <w:rPr>
                <w:rFonts w:ascii="Calibri" w:eastAsia="Calibri" w:hAnsi="Calibri" w:cs="Calibri"/>
                <w:color w:val="1A2530"/>
              </w:rPr>
              <w:t>Widened the code-reference label, relabelled the dropdowns to name the standard they configure, and corrected the escaping logic so it applies only where genuinely needed.</w:t>
            </w:r>
          </w:p>
        </w:tc>
      </w:tr>
      <w:tr w:rsidR="003C0F0B" w14:paraId="0BBBF76F" w14:textId="77777777">
        <w:tblPrEx>
          <w:tblCellMar>
            <w:top w:w="0" w:type="dxa"/>
            <w:bottom w:w="0" w:type="dxa"/>
          </w:tblCellMar>
        </w:tblPrEx>
        <w:tc>
          <w:tcPr>
            <w:tcW w:w="500" w:type="dxa"/>
            <w:tcMar>
              <w:top w:w="100" w:type="dxa"/>
              <w:left w:w="120" w:type="dxa"/>
              <w:bottom w:w="100" w:type="dxa"/>
              <w:right w:w="120" w:type="dxa"/>
            </w:tcMar>
          </w:tcPr>
          <w:p w14:paraId="78FB0696" w14:textId="77777777" w:rsidR="003C0F0B" w:rsidRDefault="00000000">
            <w:pPr>
              <w:spacing w:line="260" w:lineRule="auto"/>
            </w:pPr>
            <w:r>
              <w:rPr>
                <w:rFonts w:ascii="Calibri" w:eastAsia="Calibri" w:hAnsi="Calibri" w:cs="Calibri"/>
                <w:color w:val="1A2530"/>
              </w:rPr>
              <w:t>13</w:t>
            </w:r>
          </w:p>
        </w:tc>
        <w:tc>
          <w:tcPr>
            <w:tcW w:w="1600" w:type="dxa"/>
            <w:tcMar>
              <w:top w:w="100" w:type="dxa"/>
              <w:left w:w="120" w:type="dxa"/>
              <w:bottom w:w="100" w:type="dxa"/>
              <w:right w:w="120" w:type="dxa"/>
            </w:tcMar>
          </w:tcPr>
          <w:p w14:paraId="51389716" w14:textId="77777777" w:rsidR="003C0F0B" w:rsidRDefault="00000000">
            <w:pPr>
              <w:spacing w:line="260" w:lineRule="auto"/>
            </w:pPr>
            <w:r>
              <w:rPr>
                <w:rFonts w:ascii="Calibri" w:eastAsia="Calibri" w:hAnsi="Calibri" w:cs="Calibri"/>
                <w:b/>
                <w:bCs/>
                <w:color w:val="38976F"/>
              </w:rPr>
              <w:t>Layout &amp; typography follow-up</w:t>
            </w:r>
          </w:p>
        </w:tc>
        <w:tc>
          <w:tcPr>
            <w:tcW w:w="4000" w:type="dxa"/>
            <w:tcMar>
              <w:top w:w="100" w:type="dxa"/>
              <w:left w:w="120" w:type="dxa"/>
              <w:bottom w:w="100" w:type="dxa"/>
              <w:right w:w="120" w:type="dxa"/>
            </w:tcMar>
          </w:tcPr>
          <w:p w14:paraId="030904BB" w14:textId="77777777" w:rsidR="003C0F0B" w:rsidRDefault="00000000">
            <w:pPr>
              <w:spacing w:line="260" w:lineRule="auto"/>
            </w:pPr>
            <w:r>
              <w:rPr>
                <w:rFonts w:ascii="Calibri" w:eastAsia="Calibri" w:hAnsi="Calibri" w:cs="Calibri"/>
                <w:color w:val="1A2530"/>
              </w:rPr>
              <w:t>Content at the bottom of the upload screen was still being cut off, and the interface font should match the look of an earlier version of the app.</w:t>
            </w:r>
          </w:p>
        </w:tc>
        <w:tc>
          <w:tcPr>
            <w:tcW w:w="3980" w:type="dxa"/>
            <w:tcMar>
              <w:top w:w="100" w:type="dxa"/>
              <w:left w:w="120" w:type="dxa"/>
              <w:bottom w:w="100" w:type="dxa"/>
              <w:right w:w="120" w:type="dxa"/>
            </w:tcMar>
          </w:tcPr>
          <w:p w14:paraId="0C073654" w14:textId="77777777" w:rsidR="003C0F0B" w:rsidRDefault="00000000">
            <w:pPr>
              <w:spacing w:line="260" w:lineRule="auto"/>
            </w:pPr>
            <w:r>
              <w:rPr>
                <w:rFonts w:ascii="Calibri" w:eastAsia="Calibri" w:hAnsi="Calibri" w:cs="Calibri"/>
                <w:color w:val="1A2530"/>
              </w:rPr>
              <w:t xml:space="preserve">Made the upload screen scrollable so no content is clipped regardless of window </w:t>
            </w:r>
            <w:proofErr w:type="gramStart"/>
            <w:r>
              <w:rPr>
                <w:rFonts w:ascii="Calibri" w:eastAsia="Calibri" w:hAnsi="Calibri" w:cs="Calibri"/>
                <w:color w:val="1A2530"/>
              </w:rPr>
              <w:t>height, and</w:t>
            </w:r>
            <w:proofErr w:type="gramEnd"/>
            <w:r>
              <w:rPr>
                <w:rFonts w:ascii="Calibri" w:eastAsia="Calibri" w:hAnsi="Calibri" w:cs="Calibri"/>
                <w:color w:val="1A2530"/>
              </w:rPr>
              <w:t xml:space="preserve"> restored the earlier version's font sizing and weight.</w:t>
            </w:r>
          </w:p>
        </w:tc>
      </w:tr>
      <w:tr w:rsidR="003C0F0B" w14:paraId="4775127A" w14:textId="77777777">
        <w:tblPrEx>
          <w:tblCellMar>
            <w:top w:w="0" w:type="dxa"/>
            <w:bottom w:w="0" w:type="dxa"/>
          </w:tblCellMar>
        </w:tblPrEx>
        <w:tc>
          <w:tcPr>
            <w:tcW w:w="500" w:type="dxa"/>
            <w:tcMar>
              <w:top w:w="100" w:type="dxa"/>
              <w:left w:w="120" w:type="dxa"/>
              <w:bottom w:w="100" w:type="dxa"/>
              <w:right w:w="120" w:type="dxa"/>
            </w:tcMar>
          </w:tcPr>
          <w:p w14:paraId="4510094C" w14:textId="77777777" w:rsidR="003C0F0B" w:rsidRDefault="00000000">
            <w:pPr>
              <w:spacing w:line="260" w:lineRule="auto"/>
            </w:pPr>
            <w:r>
              <w:rPr>
                <w:rFonts w:ascii="Calibri" w:eastAsia="Calibri" w:hAnsi="Calibri" w:cs="Calibri"/>
                <w:color w:val="1A2530"/>
              </w:rPr>
              <w:t>14</w:t>
            </w:r>
          </w:p>
        </w:tc>
        <w:tc>
          <w:tcPr>
            <w:tcW w:w="1600" w:type="dxa"/>
            <w:tcMar>
              <w:top w:w="100" w:type="dxa"/>
              <w:left w:w="120" w:type="dxa"/>
              <w:bottom w:w="100" w:type="dxa"/>
              <w:right w:w="120" w:type="dxa"/>
            </w:tcMar>
          </w:tcPr>
          <w:p w14:paraId="13418B19" w14:textId="77777777" w:rsidR="003C0F0B" w:rsidRDefault="00000000">
            <w:pPr>
              <w:spacing w:line="260" w:lineRule="auto"/>
            </w:pPr>
            <w:r>
              <w:rPr>
                <w:rFonts w:ascii="Calibri" w:eastAsia="Calibri" w:hAnsi="Calibri" w:cs="Calibri"/>
                <w:b/>
                <w:bCs/>
                <w:color w:val="38976F"/>
              </w:rPr>
              <w:t>Reconciliation number formatting (iterated)</w:t>
            </w:r>
          </w:p>
        </w:tc>
        <w:tc>
          <w:tcPr>
            <w:tcW w:w="4000" w:type="dxa"/>
            <w:tcMar>
              <w:top w:w="100" w:type="dxa"/>
              <w:left w:w="120" w:type="dxa"/>
              <w:bottom w:w="100" w:type="dxa"/>
              <w:right w:w="120" w:type="dxa"/>
            </w:tcMar>
          </w:tcPr>
          <w:p w14:paraId="5481EC89" w14:textId="77777777" w:rsidR="003C0F0B" w:rsidRDefault="00000000">
            <w:pPr>
              <w:spacing w:line="260" w:lineRule="auto"/>
            </w:pPr>
            <w:r>
              <w:rPr>
                <w:rFonts w:ascii="Calibri" w:eastAsia="Calibri" w:hAnsi="Calibri" w:cs="Calibri"/>
                <w:color w:val="1A2530"/>
              </w:rPr>
              <w:t>Several rounds of feedback on how figures should display in the reconciliation table: alignment was requested to the left, then corrected back to the right; decimal places were requested to be removed; and a comprehensive check was requested after the fix did not appear to take effect everywhere.</w:t>
            </w:r>
          </w:p>
        </w:tc>
        <w:tc>
          <w:tcPr>
            <w:tcW w:w="3980" w:type="dxa"/>
            <w:tcMar>
              <w:top w:w="100" w:type="dxa"/>
              <w:left w:w="120" w:type="dxa"/>
              <w:bottom w:w="100" w:type="dxa"/>
              <w:right w:w="120" w:type="dxa"/>
            </w:tcMar>
          </w:tcPr>
          <w:p w14:paraId="175C354A" w14:textId="77777777" w:rsidR="003C0F0B" w:rsidRDefault="00000000">
            <w:pPr>
              <w:spacing w:line="260" w:lineRule="auto"/>
            </w:pPr>
            <w:r>
              <w:rPr>
                <w:rFonts w:ascii="Calibri" w:eastAsia="Calibri" w:hAnsi="Calibri" w:cs="Calibri"/>
                <w:color w:val="1A2530"/>
              </w:rPr>
              <w:t>Traced the issue to a separate, unfixed formatting function used by the other data tables in the app, then corrected number formatting and right-alignment consistently across every table in the application, not only the reconciliation view.</w:t>
            </w:r>
          </w:p>
        </w:tc>
      </w:tr>
    </w:tbl>
    <w:p w14:paraId="2A4C4827" w14:textId="77777777" w:rsidR="003C0F0B" w:rsidRDefault="00000000">
      <w:pPr>
        <w:pStyle w:val="Heading1"/>
        <w:pBdr>
          <w:bottom w:val="single" w:sz="8" w:space="4" w:color="38976F"/>
        </w:pBdr>
        <w:spacing w:before="360" w:after="160"/>
      </w:pPr>
      <w:r>
        <w:rPr>
          <w:rFonts w:ascii="Cambria" w:eastAsia="Cambria" w:hAnsi="Cambria" w:cs="Cambria"/>
          <w:b/>
          <w:bCs/>
          <w:color w:val="1A2530"/>
          <w:sz w:val="30"/>
          <w:szCs w:val="30"/>
        </w:rPr>
        <w:t>Notes</w:t>
      </w:r>
    </w:p>
    <w:p w14:paraId="4B78B84A" w14:textId="77777777" w:rsidR="003C0F0B" w:rsidRDefault="00000000">
      <w:pPr>
        <w:spacing w:after="160" w:line="300" w:lineRule="auto"/>
      </w:pPr>
      <w:r>
        <w:rPr>
          <w:rFonts w:ascii="Calibri" w:eastAsia="Calibri" w:hAnsi="Calibri" w:cs="Calibri"/>
          <w:color w:val="1A2530"/>
          <w:sz w:val="22"/>
          <w:szCs w:val="22"/>
        </w:rPr>
        <w:t>Two intermediate design directions — an alternative file-selection workflow, and a single-sheet trial-balance-style upload format — were fully implemented and verified, then reverted at the user's request in favour of the original approach. They are recorded here for completeness, as they were genuine parts of the development process even though they are not present in the final delivered version.</w:t>
      </w:r>
    </w:p>
    <w:p w14:paraId="7142CA98" w14:textId="77777777" w:rsidR="003C0F0B" w:rsidRDefault="00000000">
      <w:pPr>
        <w:spacing w:after="160" w:line="300" w:lineRule="auto"/>
      </w:pPr>
      <w:r>
        <w:rPr>
          <w:rFonts w:ascii="Calibri" w:eastAsia="Calibri" w:hAnsi="Calibri" w:cs="Calibri"/>
          <w:color w:val="1A2530"/>
          <w:sz w:val="22"/>
          <w:szCs w:val="22"/>
        </w:rPr>
        <w:t>Every calculation change in this log was independently verified against the underlying figures (balance-sheet identities, the profit-to-profit reconciliation bridge, and cross-checks between the reconciliation view and the financial statements) before being shared, and every user-interface change was checked by rendering or running the application rather than by inspection of the code alone.</w:t>
      </w:r>
    </w:p>
    <w:sectPr w:rsidR="003C0F0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7E6D8" w14:textId="77777777" w:rsidR="00360CEB" w:rsidRDefault="00360CEB">
      <w:r>
        <w:separator/>
      </w:r>
    </w:p>
  </w:endnote>
  <w:endnote w:type="continuationSeparator" w:id="0">
    <w:p w14:paraId="3D0AC4F2" w14:textId="77777777" w:rsidR="00360CEB" w:rsidRDefault="00360C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C27D3" w14:textId="77777777" w:rsidR="003C0F0B" w:rsidRDefault="00000000">
    <w:pPr>
      <w:jc w:val="center"/>
    </w:pPr>
    <w:r>
      <w:rPr>
        <w:rFonts w:ascii="Calibri" w:eastAsia="Calibri" w:hAnsi="Calibri" w:cs="Calibri"/>
        <w:color w:val="5B6B7D"/>
        <w:sz w:val="16"/>
        <w:szCs w:val="16"/>
      </w:rPr>
      <w:t xml:space="preserve">Page </w:t>
    </w:r>
    <w:r>
      <w:rPr>
        <w:rFonts w:ascii="Calibri" w:eastAsia="Calibri" w:hAnsi="Calibri" w:cs="Calibri"/>
        <w:color w:val="5B6B7D"/>
        <w:sz w:val="16"/>
        <w:szCs w:val="16"/>
      </w:rPr>
      <w:fldChar w:fldCharType="begin"/>
    </w:r>
    <w:r>
      <w:rPr>
        <w:rFonts w:ascii="Calibri" w:eastAsia="Calibri" w:hAnsi="Calibri" w:cs="Calibri"/>
        <w:color w:val="5B6B7D"/>
        <w:sz w:val="16"/>
        <w:szCs w:val="16"/>
      </w:rPr>
      <w:instrText>PAGE</w:instrText>
    </w:r>
    <w:r>
      <w:rPr>
        <w:rFonts w:ascii="Calibri" w:eastAsia="Calibri" w:hAnsi="Calibri" w:cs="Calibri"/>
        <w:color w:val="5B6B7D"/>
        <w:sz w:val="16"/>
        <w:szCs w:val="16"/>
      </w:rPr>
      <w:fldChar w:fldCharType="separate"/>
    </w:r>
    <w:r w:rsidR="00C27F82">
      <w:rPr>
        <w:rFonts w:ascii="Calibri" w:eastAsia="Calibri" w:hAnsi="Calibri" w:cs="Calibri"/>
        <w:noProof/>
        <w:color w:val="5B6B7D"/>
        <w:sz w:val="16"/>
        <w:szCs w:val="16"/>
      </w:rPr>
      <w:t>1</w:t>
    </w:r>
    <w:r>
      <w:rPr>
        <w:rFonts w:ascii="Calibri" w:eastAsia="Calibri" w:hAnsi="Calibri" w:cs="Calibri"/>
        <w:color w:val="5B6B7D"/>
        <w:sz w:val="16"/>
        <w:szCs w:val="16"/>
      </w:rPr>
      <w:fldChar w:fldCharType="end"/>
    </w:r>
    <w:r>
      <w:rPr>
        <w:rFonts w:ascii="Calibri" w:eastAsia="Calibri" w:hAnsi="Calibri" w:cs="Calibri"/>
        <w:color w:val="5B6B7D"/>
        <w:sz w:val="16"/>
        <w:szCs w:val="16"/>
      </w:rPr>
      <w:t xml:space="preserve"> of </w:t>
    </w:r>
    <w:r>
      <w:rPr>
        <w:rFonts w:ascii="Calibri" w:eastAsia="Calibri" w:hAnsi="Calibri" w:cs="Calibri"/>
        <w:color w:val="5B6B7D"/>
        <w:sz w:val="16"/>
        <w:szCs w:val="16"/>
      </w:rPr>
      <w:fldChar w:fldCharType="begin"/>
    </w:r>
    <w:r>
      <w:rPr>
        <w:rFonts w:ascii="Calibri" w:eastAsia="Calibri" w:hAnsi="Calibri" w:cs="Calibri"/>
        <w:color w:val="5B6B7D"/>
        <w:sz w:val="16"/>
        <w:szCs w:val="16"/>
      </w:rPr>
      <w:instrText>NUMPAGES</w:instrText>
    </w:r>
    <w:r>
      <w:rPr>
        <w:rFonts w:ascii="Calibri" w:eastAsia="Calibri" w:hAnsi="Calibri" w:cs="Calibri"/>
        <w:color w:val="5B6B7D"/>
        <w:sz w:val="16"/>
        <w:szCs w:val="16"/>
      </w:rPr>
      <w:fldChar w:fldCharType="separate"/>
    </w:r>
    <w:r w:rsidR="00C27F82">
      <w:rPr>
        <w:rFonts w:ascii="Calibri" w:eastAsia="Calibri" w:hAnsi="Calibri" w:cs="Calibri"/>
        <w:noProof/>
        <w:color w:val="5B6B7D"/>
        <w:sz w:val="16"/>
        <w:szCs w:val="16"/>
      </w:rPr>
      <w:t>2</w:t>
    </w:r>
    <w:r>
      <w:rPr>
        <w:rFonts w:ascii="Calibri" w:eastAsia="Calibri" w:hAnsi="Calibri" w:cs="Calibri"/>
        <w:color w:val="5B6B7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3D1EEE" w14:textId="77777777" w:rsidR="00360CEB" w:rsidRDefault="00360CEB">
      <w:r>
        <w:separator/>
      </w:r>
    </w:p>
  </w:footnote>
  <w:footnote w:type="continuationSeparator" w:id="0">
    <w:p w14:paraId="41C6BC6D" w14:textId="77777777" w:rsidR="00360CEB" w:rsidRDefault="00360CE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7D0AC" w14:textId="77777777" w:rsidR="003C0F0B" w:rsidRDefault="00000000">
    <w:pPr>
      <w:pBdr>
        <w:bottom w:val="single" w:sz="4" w:space="4" w:color="D9DEE4"/>
      </w:pBdr>
      <w:jc w:val="right"/>
    </w:pPr>
    <w:r>
      <w:rPr>
        <w:rFonts w:ascii="Calibri" w:eastAsia="Calibri" w:hAnsi="Calibri" w:cs="Calibri"/>
        <w:color w:val="5B6B7D"/>
        <w:sz w:val="16"/>
        <w:szCs w:val="16"/>
      </w:rPr>
      <w:t>Ind AS (IGAAP) vs US GAAP — Development Prompt Log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44B50"/>
    <w:multiLevelType w:val="hybridMultilevel"/>
    <w:tmpl w:val="D9A8B246"/>
    <w:lvl w:ilvl="0" w:tplc="BEEE6B0E">
      <w:start w:val="1"/>
      <w:numFmt w:val="bullet"/>
      <w:lvlText w:val="●"/>
      <w:lvlJc w:val="left"/>
      <w:pPr>
        <w:ind w:left="720" w:hanging="360"/>
      </w:pPr>
    </w:lvl>
    <w:lvl w:ilvl="1" w:tplc="73225178">
      <w:start w:val="1"/>
      <w:numFmt w:val="bullet"/>
      <w:lvlText w:val="○"/>
      <w:lvlJc w:val="left"/>
      <w:pPr>
        <w:ind w:left="1440" w:hanging="360"/>
      </w:pPr>
    </w:lvl>
    <w:lvl w:ilvl="2" w:tplc="B9DA8BBC">
      <w:start w:val="1"/>
      <w:numFmt w:val="bullet"/>
      <w:lvlText w:val="■"/>
      <w:lvlJc w:val="left"/>
      <w:pPr>
        <w:ind w:left="2160" w:hanging="360"/>
      </w:pPr>
    </w:lvl>
    <w:lvl w:ilvl="3" w:tplc="3A7C1C3A">
      <w:start w:val="1"/>
      <w:numFmt w:val="bullet"/>
      <w:lvlText w:val="●"/>
      <w:lvlJc w:val="left"/>
      <w:pPr>
        <w:ind w:left="2880" w:hanging="360"/>
      </w:pPr>
    </w:lvl>
    <w:lvl w:ilvl="4" w:tplc="20280EE6">
      <w:start w:val="1"/>
      <w:numFmt w:val="bullet"/>
      <w:lvlText w:val="○"/>
      <w:lvlJc w:val="left"/>
      <w:pPr>
        <w:ind w:left="3600" w:hanging="360"/>
      </w:pPr>
    </w:lvl>
    <w:lvl w:ilvl="5" w:tplc="0C60120C">
      <w:start w:val="1"/>
      <w:numFmt w:val="bullet"/>
      <w:lvlText w:val="■"/>
      <w:lvlJc w:val="left"/>
      <w:pPr>
        <w:ind w:left="4320" w:hanging="360"/>
      </w:pPr>
    </w:lvl>
    <w:lvl w:ilvl="6" w:tplc="AAB8E184">
      <w:start w:val="1"/>
      <w:numFmt w:val="bullet"/>
      <w:lvlText w:val="●"/>
      <w:lvlJc w:val="left"/>
      <w:pPr>
        <w:ind w:left="5040" w:hanging="360"/>
      </w:pPr>
    </w:lvl>
    <w:lvl w:ilvl="7" w:tplc="3886C254">
      <w:start w:val="1"/>
      <w:numFmt w:val="bullet"/>
      <w:lvlText w:val="●"/>
      <w:lvlJc w:val="left"/>
      <w:pPr>
        <w:ind w:left="5760" w:hanging="360"/>
      </w:pPr>
    </w:lvl>
    <w:lvl w:ilvl="8" w:tplc="8D162AFC">
      <w:start w:val="1"/>
      <w:numFmt w:val="bullet"/>
      <w:lvlText w:val="●"/>
      <w:lvlJc w:val="left"/>
      <w:pPr>
        <w:ind w:left="6480" w:hanging="360"/>
      </w:pPr>
    </w:lvl>
  </w:abstractNum>
  <w:num w:numId="1" w16cid:durableId="2692407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0F0B"/>
    <w:rsid w:val="00360CEB"/>
    <w:rsid w:val="003A0CD0"/>
    <w:rsid w:val="003C0F0B"/>
    <w:rsid w:val="00C27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36323"/>
  <w15:docId w15:val="{34A5B565-8FC7-4A39-BE3D-B21D91096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1274</Words>
  <Characters>7268</Characters>
  <Application>Microsoft Office Word</Application>
  <DocSecurity>0</DocSecurity>
  <Lines>60</Lines>
  <Paragraphs>17</Paragraphs>
  <ScaleCrop>false</ScaleCrop>
  <Company/>
  <LinksUpToDate>false</LinksUpToDate>
  <CharactersWithSpaces>8525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sneha srinivasan</cp:lastModifiedBy>
  <cp:revision>3</cp:revision>
  <dcterms:created xsi:type="dcterms:W3CDTF">2026-09-12T05:11:00Z</dcterms:created>
  <dcterms:modified xsi:type="dcterms:W3CDTF">2026-09-12T05:15:00Z</dcterms:modified>
</cp:coreProperties>
</file>