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36"/>
        </w:rPr>
        <w:t>ENTERPRISE FORENSIC AUDIT &amp; BENFORD'S LAW SUITE</w:t>
      </w:r>
    </w:p>
    <w:p>
      <w:pPr>
        <w:spacing w:after="280"/>
      </w:pPr>
      <w:r>
        <w:rPr>
          <w:i/>
          <w:color w:val="1E3A8A"/>
          <w:sz w:val="22"/>
        </w:rPr>
        <w:t>Detailed Project Implementation Plan Executed &amp; Technical Architecture Lifecycle</w:t>
        <w:br/>
        <w:t>(Indian Digital Personal Data Protection Act, 2023 Compliant)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4968"/>
            <w:shd w:fill="F1F5F9"/>
            <w:tcMar>
              <w:top w:w="80" w:type="dxa"/>
              <w:bottom w:w="80" w:type="dxa"/>
              <w:left w:w="120" w:type="dxa"/>
              <w:right w:w="120" w:type="dxa"/>
            </w:tcMar>
          </w:tcPr>
          <w:p>
            <w:r>
              <w:rPr>
                <w:b/>
                <w:sz w:val="19"/>
              </w:rPr>
              <w:t>Project Title:</w:t>
            </w:r>
          </w:p>
        </w:tc>
        <w:tc>
          <w:tcPr>
            <w:tcW w:type="dxa" w:w="4968"/>
            <w:shd w:fill="FFFFFF"/>
            <w:tcMar>
              <w:top w:w="80" w:type="dxa"/>
              <w:bottom w:w="80" w:type="dxa"/>
              <w:left w:w="120" w:type="dxa"/>
              <w:right w:w="120" w:type="dxa"/>
            </w:tcMar>
          </w:tcPr>
          <w:p>
            <w:r>
              <w:rPr>
                <w:sz w:val="19"/>
              </w:rPr>
              <w:t>Enterprise Forensic Audit &amp; Benford's Law Suite (Indian DPDP Act, 2023 Compliant)</w:t>
            </w:r>
          </w:p>
        </w:tc>
      </w:tr>
      <w:tr>
        <w:tc>
          <w:tcPr>
            <w:tcW w:type="dxa" w:w="4968"/>
            <w:shd w:fill="F1F5F9"/>
            <w:tcMar>
              <w:top w:w="80" w:type="dxa"/>
              <w:bottom w:w="80" w:type="dxa"/>
              <w:left w:w="120" w:type="dxa"/>
              <w:right w:w="120" w:type="dxa"/>
            </w:tcMar>
          </w:tcPr>
          <w:p>
            <w:r>
              <w:rPr>
                <w:b/>
                <w:sz w:val="19"/>
              </w:rPr>
              <w:t>Statutory &amp; Professional Framework:</w:t>
            </w:r>
          </w:p>
        </w:tc>
        <w:tc>
          <w:tcPr>
            <w:tcW w:type="dxa" w:w="4968"/>
            <w:shd w:fill="FFFFFF"/>
            <w:tcMar>
              <w:top w:w="80" w:type="dxa"/>
              <w:bottom w:w="80" w:type="dxa"/>
              <w:left w:w="120" w:type="dxa"/>
              <w:right w:w="120" w:type="dxa"/>
            </w:tcMar>
          </w:tcPr>
          <w:p>
            <w:r>
              <w:rPr>
                <w:sz w:val="19"/>
              </w:rPr>
              <w:t>Indian DPDP Act, 2023 (Sec 4, 7 &amp; 8) • ICAI FAFD Standards • AICPA SAS 136</w:t>
            </w:r>
          </w:p>
        </w:tc>
      </w:tr>
      <w:tr>
        <w:tc>
          <w:tcPr>
            <w:tcW w:type="dxa" w:w="4968"/>
            <w:shd w:fill="F1F5F9"/>
            <w:tcMar>
              <w:top w:w="80" w:type="dxa"/>
              <w:bottom w:w="80" w:type="dxa"/>
              <w:left w:w="120" w:type="dxa"/>
              <w:right w:w="120" w:type="dxa"/>
            </w:tcMar>
          </w:tcPr>
          <w:p>
            <w:r>
              <w:rPr>
                <w:b/>
                <w:sz w:val="19"/>
              </w:rPr>
              <w:t>System Architecture &amp; Execution:</w:t>
            </w:r>
          </w:p>
        </w:tc>
        <w:tc>
          <w:tcPr>
            <w:tcW w:type="dxa" w:w="4968"/>
            <w:shd w:fill="FFFFFF"/>
            <w:tcMar>
              <w:top w:w="80" w:type="dxa"/>
              <w:bottom w:w="80" w:type="dxa"/>
              <w:left w:w="120" w:type="dxa"/>
              <w:right w:w="120" w:type="dxa"/>
            </w:tcMar>
          </w:tcPr>
          <w:p>
            <w:r>
              <w:rPr>
                <w:sz w:val="19"/>
              </w:rPr>
              <w:t>Full-Stack Standalone Application (FastAPI + React 19 + PyInstaller + Air-Gapped Shell)</w:t>
            </w:r>
          </w:p>
        </w:tc>
      </w:tr>
      <w:tr>
        <w:tc>
          <w:tcPr>
            <w:tcW w:type="dxa" w:w="4968"/>
            <w:shd w:fill="F1F5F9"/>
            <w:tcMar>
              <w:top w:w="80" w:type="dxa"/>
              <w:bottom w:w="80" w:type="dxa"/>
              <w:left w:w="120" w:type="dxa"/>
              <w:right w:w="120" w:type="dxa"/>
            </w:tcMar>
          </w:tcPr>
          <w:p>
            <w:r>
              <w:rPr>
                <w:b/>
                <w:sz w:val="19"/>
              </w:rPr>
              <w:t>Status &amp; Verification:</w:t>
            </w:r>
          </w:p>
        </w:tc>
        <w:tc>
          <w:tcPr>
            <w:tcW w:type="dxa" w:w="4968"/>
            <w:shd w:fill="FFFFFF"/>
            <w:tcMar>
              <w:top w:w="80" w:type="dxa"/>
              <w:bottom w:w="80" w:type="dxa"/>
              <w:left w:w="120" w:type="dxa"/>
              <w:right w:w="120" w:type="dxa"/>
            </w:tcMar>
          </w:tcPr>
          <w:p>
            <w:r>
              <w:rPr>
                <w:sz w:val="19"/>
              </w:rPr>
              <w:t>100% Fully Implemented, Back-Tested, and Verified (22/22 Automated Tests Passing)</w:t>
            </w:r>
          </w:p>
        </w:tc>
      </w:tr>
    </w:tbl>
    <w:p>
      <w:pPr>
        <w:spacing w:after="240"/>
      </w:pPr>
    </w:p>
    <w:p>
      <w:pPr>
        <w:spacing w:before="280" w:after="120"/>
      </w:pPr>
      <w:r>
        <w:rPr>
          <w:b/>
          <w:color w:val="0F172A"/>
          <w:sz w:val="26"/>
        </w:rPr>
        <w:t>1. Executive Objective &amp; Strategic Architecture</w:t>
      </w:r>
    </w:p>
    <w:p>
      <w:r>
        <w:t>The objective was to engineer a courtroom-grade, standalone, elite financial forensic audit application titled "Enterprise Forensic Audit &amp; Benford's Law Suite (Indian DPDP Act, 2023 Compliant)". The platform delivers world-class mathematical fraud detection for Chief Forensic Auditors, Chartered Accountants, and Fraud Investigators, combining Mark Nigrini's Benford Law formulations with an airtight security shell strictly adhering to the Indian Digital Personal Data Protection (DPDP) Act, 2023.</w:t>
      </w:r>
    </w:p>
    <w:p>
      <w:pPr>
        <w:spacing w:before="280" w:after="120"/>
      </w:pPr>
      <w:r>
        <w:rPr>
          <w:b/>
          <w:color w:val="0F172A"/>
          <w:sz w:val="26"/>
        </w:rPr>
        <w:t>2. Phase-by-Phase Implementation Plan Executed</w:t>
      </w:r>
    </w:p>
    <w:p>
      <w:pPr>
        <w:spacing w:before="200" w:after="80"/>
      </w:pPr>
      <w:r>
        <w:rPr>
          <w:b/>
          <w:color w:val="1E3A8A"/>
          <w:sz w:val="22"/>
        </w:rPr>
        <w:t>Phase 1: Legal Framework, Principles &amp; Statistical Formulations</w:t>
      </w:r>
    </w:p>
    <w:p>
      <w:r>
        <w:t>• Indian DPDP Act, 2023 Compliance Shell:</w:t>
        <w:br/>
        <w:t xml:space="preserve">  - Data Fiduciary &amp; Data Processor structural governance (Sec 4 &amp; 7).</w:t>
        <w:br/>
        <w:t xml:space="preserve">  - Verhoeff Checksum Algorithm implementation for 12-digit Indian Aadhaar validation (dihedral group D5 multiplication &amp; permutation tables).</w:t>
        <w:br/>
        <w:t xml:space="preserve">  - Indian PAN validation: Structural regex [A-Z]{5}[0-9]{4}[A-Z] and 4th-character entity parsing (Individual 'P', Company 'C', Firm 'F', Trust 'T', AOP 'A').</w:t>
        <w:br/>
        <w:t xml:space="preserve">  - Indian GSTIN validation: 15-character structure with 2-digit state code mapping (01 to 38, 97, 99).</w:t>
        <w:br/>
        <w:t xml:space="preserve">  - Salted Deterministic HMAC-SHA256 Tokenization: Replaces PII with collision-free pseudonyms to preserve relational grouping for vendor analysis while preventing identity exposure.</w:t>
        <w:br/>
        <w:t xml:space="preserve">  - Air-Gapped Zero-Egress Gateway: Blocks unauthorized external transmissions.</w:t>
        <w:br/>
        <w:br/>
        <w:t>• Mark Nigrini Benford's Law Statistical Mechanics:</w:t>
        <w:br/>
        <w:t xml:space="preserve">  - First Digit (1D) Test: P(d1) = log10(1 + 1/d1) for d1 in {1..9}.</w:t>
        <w:br/>
        <w:t xml:space="preserve">  - Second Digit (2D) Test: P(d2) = sum_{d1=1..9} log10(1 + 1/(10*d1 + d2)) for d2 in {0..9}.</w:t>
        <w:br/>
        <w:t xml:space="preserve">  - First-Two Digits (F2D) Test: P(d12) = log10(1 + 1/d12) for d12 in {10..99} (Primary Forensic Standard).</w:t>
        <w:br/>
        <w:t xml:space="preserve">  - First-Three Digits (F3D) Test: P(d123) = log10(1 + 1/d123) for d123 in {100..999}.</w:t>
        <w:br/>
        <w:t xml:space="preserve">  - Last-Two Digits (L2D / Number Uniformity) Test: Uniform P = 0.01 for d_last in {00..99}.</w:t>
        <w:br/>
        <w:t xml:space="preserve">  - Mantissa Arc Test: Fractional logarithm distribution (mean mantissa ~0.5000, variance ~0.0833, center of gravity vector).</w:t>
        <w:br/>
        <w:t xml:space="preserve">  - Nigrini Mean Absolute Deviation (MAD) scale: Close (&lt;=0.0012), Acceptable (0.0012-0.0018), Marginally Acceptable (0.0018-0.0022), Non-Conforming (&gt;0.0022).</w:t>
        <w:br/>
        <w:t xml:space="preserve">  - Statistical Goodness-of-Fit: Yates continuity-corrected Z-score (95% &amp; 99% significance), Chi-Square (χ²), Kolmogorov-Smirnov distance D.</w:t>
      </w:r>
    </w:p>
    <w:p>
      <w:pPr>
        <w:spacing w:before="200" w:after="80"/>
      </w:pPr>
      <w:r>
        <w:rPr>
          <w:b/>
          <w:color w:val="1E3A8A"/>
          <w:sz w:val="22"/>
        </w:rPr>
        <w:t>Phase 2: Universal Multi-Format Data Ingestion Engine</w:t>
      </w:r>
    </w:p>
    <w:p>
      <w:r>
        <w:t>• Implemented `backend/app/engine/data_loader.py` supporting:</w:t>
        <w:br/>
        <w:t xml:space="preserve">  - Excel Spreadsheets (.xlsx, .xls, .xlsm) via openpyxl and xlrd.</w:t>
        <w:br/>
        <w:t xml:space="preserve">  - Word Documents (.docx) extracting structured tables and delimited paragraphs.</w:t>
        <w:br/>
        <w:t xml:space="preserve">  - PDF Documents (.pdf) parsing digital tables and text streams.</w:t>
        <w:br/>
        <w:t xml:space="preserve">  - Delimited Files (.csv, .tsv, .psv, .txt, .log, .dat) with automatic delimiter sniffing.</w:t>
        <w:br/>
        <w:t xml:space="preserve">  - Semi-Structured Files (.json, .jsonl, .xml).</w:t>
        <w:br/>
        <w:t xml:space="preserve">  - Database &amp; High Performance (.parquet, .sqlite, .db).</w:t>
        <w:br/>
        <w:t xml:space="preserve">  - Local Files, Folders, and Network Server Paths (UNC \\server\share\... and mapped drives).</w:t>
        <w:br/>
        <w:t xml:space="preserve">  - Graceful limitation diagnostics for password-protected files or image-only scans.</w:t>
      </w:r>
    </w:p>
    <w:p>
      <w:pPr>
        <w:spacing w:before="200" w:after="80"/>
      </w:pPr>
      <w:r>
        <w:rPr>
          <w:b/>
          <w:color w:val="1E3A8A"/>
          <w:sz w:val="22"/>
        </w:rPr>
        <w:t>Phase 3: Advanced Forensic Anomaly Suite</w:t>
      </w:r>
    </w:p>
    <w:p>
      <w:r>
        <w:t>• Relative Size Factor (RSF): Ratio of largest payment to second-largest payment per vendor/account (flags RSF &gt;= 5.0x and &gt;= 10.0x).</w:t>
        <w:br/>
        <w:t>• Duplicate Payment Finder: Exact match sets (Vendor + Amount + Invoice + Date) and fuzzy 30-day duplicates.</w:t>
        <w:br/>
        <w:t>• Split Transactions / Smurfing Detector: Detects artificial splitting within 10% below statutory limits (₹45,000-₹49,999 for ₹50k PAN limit; ₹1,80,000-₹1,99,999 for ₹2L cash limit; ₹9,50,000-₹9,99,999 for ₹10L TDS limit).</w:t>
        <w:br/>
        <w:t>• Round Number Analysis: Identifies round provision figures (multiples of ₹1,00,000, ₹50,000, ₹10,000, ₹1,000).</w:t>
        <w:br/>
        <w:t>• Temporal &amp; Calendar Outliers: Weekend transactions and Indian statutory national holidays (Jan 26, Aug 15, Oct 2).</w:t>
        <w:br/>
        <w:t>• Multi-Factor Composite Risk Matrix: Synthesizes individual flags into 0-100 transaction risk scores with Low, Medium, High, and Critical tiers.</w:t>
      </w:r>
    </w:p>
    <w:p>
      <w:pPr>
        <w:spacing w:before="200" w:after="80"/>
      </w:pPr>
      <w:r>
        <w:rPr>
          <w:b/>
          <w:color w:val="1E3A8A"/>
          <w:sz w:val="22"/>
        </w:rPr>
        <w:t>Phase 4: Multi-Tiered Excel Outcome Workbook &amp; Auditor Sampling Guide</w:t>
      </w:r>
    </w:p>
    <w:p>
      <w:r>
        <w:t>• Formatted institutional Excel outcome workbook (`/api/report/excel`) containing 8 dedicated sheets:</w:t>
        <w:br/>
        <w:t xml:space="preserve">  1. Executive Summary &amp; DPDP: Core KPI cards, dataset SHA-256 fingerprint, MAD rating, and DPDP compliance certifications.</w:t>
        <w:br/>
        <w:t xml:space="preserve">  2. Auditor Sampling Guide: Grounded in ICAI FAFD &amp; AICPA SAS 136 standards. Defines 3-Tier Sampling Matrix (Tier 1: 100% Mandatory Review, Tier 2: Targeted Forensic Sample, Tier 3: Stratified Substantive Sample) and source document verification checklist.</w:t>
        <w:br/>
        <w:t xml:space="preserve">  3. Master Sample Ledger: Consolidated sampling list prioritized by Composite Risk Score (0-100) with primary triggers and specific audit testing procedures.</w:t>
        <w:br/>
        <w:t xml:space="preserve">  4. Sampled - RSF Outliers: Dedicated sheet of all highest-outlier payments for flagged vendors (RSF &gt;= 5.0x and &gt;= 10.0x).</w:t>
        <w:br/>
        <w:t xml:space="preserve">  5. Sampled - Duplicate Payments: Complete list of exact duplicate clusters and fuzzy 30-day pairs.</w:t>
        <w:br/>
        <w:t xml:space="preserve">  6. Sampled - Split Smurfing: Transactions clustered near statutory reporting limits with total evaded volumes.</w:t>
        <w:br/>
        <w:t xml:space="preserve">  7. Benford F2D Digits Table: 10-99 distribution matrix with observed vs expected counts, percentages, and Z-scores.</w:t>
        <w:br/>
        <w:t xml:space="preserve">  8. Chained Audit Trail: Cryptographic SHA-256 block chain journal with full timestamps, actions, user roles, event parameters, block hashes, previous block hashes, and validity status (never blank; omitted if empty).</w:t>
      </w:r>
    </w:p>
    <w:p>
      <w:pPr>
        <w:spacing w:before="200" w:after="80"/>
      </w:pPr>
      <w:r>
        <w:rPr>
          <w:b/>
          <w:color w:val="1E3A8A"/>
          <w:sz w:val="22"/>
        </w:rPr>
        <w:t>Phase 5: Professional Word &amp; Courtroom PDF Dossiers</w:t>
      </w:r>
    </w:p>
    <w:p>
      <w:r>
        <w:t>• Courtroom &amp; Audit Committee Grade PDF Report (`/api/report/pdf`): Multi-page dossier generated via ReportLab with executive summary, Benford MAD ratings, anomaly breakdown, and DPDP certificate.</w:t>
        <w:br/>
        <w:t>• Formal Word Audit Findings Dossier (`/api/report/docx`): Comprehensive report generated via python-docx with structured tables, executive commentary, and auditor sign-off blocks.</w:t>
        <w:br/>
        <w:t>• Cryptographic JSON Certificate (`/api/audit/certificate`): Machine-verifiable certificate with digital chain of custody.</w:t>
      </w:r>
    </w:p>
    <w:p>
      <w:pPr>
        <w:spacing w:before="200" w:after="80"/>
      </w:pPr>
      <w:r>
        <w:rPr>
          <w:b/>
          <w:color w:val="1E3A8A"/>
          <w:sz w:val="22"/>
        </w:rPr>
        <w:t>Phase 6: Frontend Single-Page Application (React 19 + TypeScript + Vite)</w:t>
      </w:r>
    </w:p>
    <w:p>
      <w:r>
        <w:t>• High-performance UI built with React 19, TypeScript, TailwindCSS, and Chart.js.</w:t>
        <w:br/>
        <w:t>• 6 Executive Views:</w:t>
        <w:br/>
        <w:t xml:space="preserve">  1. Ingestion &amp; Mapping: Local/network file path, file upload, format tags, non-intrusive metadata.</w:t>
        <w:br/>
        <w:t xml:space="preserve">  2. DPDP Privacy Vault: Verhoeff Aadhaar verification, PAN classification, GSTIN mapping, deterministic HMAC pseudonymization.</w:t>
        <w:br/>
        <w:t xml:space="preserve">  3. Benford Analytics Workbench: Interactive bar &amp; curve charts for 1D, 2D, F2D, F3D, L2D, and Mantissa Arc with click-to-drilldown table filtering.</w:t>
        <w:br/>
        <w:t xml:space="preserve">  4. Forensic Scanner: Composite risk matrix, RSF outliers, duplicate clusters, smurfing bands, round numbers, calendar postings.</w:t>
        <w:br/>
        <w:t xml:space="preserve">  5. Audit Trail Ledger: Blockchain hash chain explorer with one-click cryptographic integrity verification.</w:t>
        <w:br/>
        <w:t xml:space="preserve">  6. Executive Report: Multi-format download center (PDF, Excel, Word, JSON).</w:t>
        <w:br/>
        <w:t>• Error Boundary Architecture: React Error Boundary wraps views for graceful failure isolation.</w:t>
        <w:br/>
        <w:t>• React Rules of Hooks: All hooks execute unconditionally at top level, preventing Minified React error #310.</w:t>
      </w:r>
    </w:p>
    <w:p>
      <w:pPr>
        <w:spacing w:before="200" w:after="80"/>
      </w:pPr>
      <w:r>
        <w:rPr>
          <w:b/>
          <w:color w:val="1E3A8A"/>
          <w:sz w:val="22"/>
        </w:rPr>
        <w:t>Phase 7: Packaging, Desktop Launcher &amp; Standalone Executable</w:t>
      </w:r>
    </w:p>
    <w:p>
      <w:r>
        <w:t>• Windows Desktop Launcher (`run_app.py` &amp; `run_app.bat`):</w:t>
        <w:br/>
        <w:t xml:space="preserve">  - Multi-threaded automatic browser initialization.</w:t>
        <w:br/>
        <w:t xml:space="preserve">  - Windows console cp1252 / utf-8 safe ASCII banner.</w:t>
        <w:br/>
        <w:t xml:space="preserve">  - Direct `uvicorn` application instance passing to support PyInstaller frozen environments.</w:t>
        <w:br/>
        <w:t xml:space="preserve">  - `multiprocessing.freeze_support()` integration.</w:t>
        <w:br/>
        <w:t xml:space="preserve">  - Crash-interceptor exception handling (`input('Press Enter to exit...')`).</w:t>
        <w:br/>
        <w:t>• Standalone Binary Compilation:</w:t>
        <w:br/>
        <w:t xml:space="preserve">  - Compiled executable named: `Enterprise_Forensic_Audit_and_Benfords_Law_Suite_v1.exe`</w:t>
        <w:br/>
        <w:t xml:space="preserve">  - Bundles backend server, scientific engines, ReportLab, OpenPyXL, Python-DocX, and compiled React frontend into a zero-install folder.</w:t>
      </w:r>
    </w:p>
    <w:p>
      <w:pPr>
        <w:spacing w:before="200" w:after="80"/>
      </w:pPr>
      <w:r>
        <w:rPr>
          <w:b/>
          <w:color w:val="1E3A8A"/>
          <w:sz w:val="22"/>
        </w:rPr>
        <w:t>Phase 8: Quality Assurance, Automated Tests &amp; Dual Documentation</w:t>
      </w:r>
    </w:p>
    <w:p>
      <w:r>
        <w:t>• Automated Test Suite (22/22 Passing):</w:t>
        <w:br/>
        <w:t xml:space="preserve">  - `test_benford.py`: Geometric conformity back-test, uniform rejection, Z-score spikes, digit extraction.</w:t>
        <w:br/>
        <w:t xml:space="preserve">  - `test_dpdp.py`: Aadhaar Verhoeff checksum, PAN entity classification, GSTIN state codes, HMAC-SHA256 determinism, HITL air-gap gateway.</w:t>
        <w:br/>
        <w:t xml:space="preserve">  - `test_forensic_tests.py`: RSF multiplier computation, duplicate detection, split smurfing under ₹50k, round numbers.</w:t>
        <w:br/>
        <w:t xml:space="preserve">  - `test_audit_ledger.py`: Genesis block, hash continuity, cryptographic tamper detection.</w:t>
        <w:br/>
        <w:t xml:space="preserve">  - `test_data_loader.py`: CSV, Excel, Word, PDF, JSON, XML, Parquet, SQLite multi-format loading.</w:t>
        <w:br/>
        <w:t xml:space="preserve">  - `test_e2e_integration.py`: End-to-end audit lifecycle back-test, asserting PDF, Word, and multi-sheet Excel generation with populated audit trail.</w:t>
        <w:br/>
        <w:t>• Dual-Synchronized Documentation:</w:t>
        <w:br/>
        <w:t xml:space="preserve">  - Marked down `README.md` and plain-text mirror copy `README.txt` kept strictly updated for all changes.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