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E3A8A"/>
          <w:sz w:val="36"/>
        </w:rPr>
        <w:t>CAPITAL GAINS TAX COMPARISON REPORT</w:t>
      </w:r>
    </w:p>
    <w:p>
      <w:r>
        <w:rPr>
          <w:rFonts w:ascii="Calibri" w:hAnsi="Calibri"/>
          <w:i/>
          <w:color w:val="64748B"/>
          <w:sz w:val="20"/>
        </w:rPr>
        <w:t>Statutory Comparative Analysis: 12.5% Without Indexation vs. 20% With Indexation</w:t>
        <w:br/>
        <w:t>Assessment Year: 2027-28 | Financial Year: 2026-27 | Date: 06-Sep-2026</w:t>
      </w:r>
    </w:p>
    <w:p>
      <w:r>
        <w:rPr>
          <w:b/>
          <w:color w:val="065F46"/>
          <w:sz w:val="24"/>
        </w:rPr>
        <w:t>⭐ RECOMMENDED METHOD: 20% WITH INDEXATION</w:t>
        <w:br/>
      </w:r>
      <w:r>
        <w:rPr>
          <w:b/>
          <w:color w:val="059669"/>
          <w:sz w:val="26"/>
        </w:rPr>
        <w:t>Estimated Tax Saving: ₹10,91,090.00</w:t>
        <w:br/>
      </w:r>
      <w:r>
        <w:rPr>
          <w:color w:val="047857"/>
          <w:sz w:val="20"/>
        </w:rPr>
        <w:t>The 20% With Indexation method produces a LOWER tax liability of ₹0.00 compared to ₹1,091,090.00 under the 12.5% method. Selecting 20% with indexation results in a net tax saving of ₹1,091,090.00.</w:t>
      </w:r>
    </w:p>
    <w:p>
      <w:pPr>
        <w:pStyle w:val="Heading2"/>
      </w:pPr>
      <w:r>
        <w:t>1. Assessee &amp; Transaction Profile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rFonts w:ascii="Calibri" w:hAnsi="Calibri"/>
                <w:b/>
                <w:sz w:val="19"/>
              </w:rPr>
              <w:t>Name of Assessee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sz w:val="19"/>
              </w:rPr>
              <w:t>Sugyan Sahoo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/>
                <w:sz w:val="19"/>
              </w:rPr>
              <w:t>PAN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sz w:val="19"/>
              </w:rPr>
              <w:t>ABCPS1234F</w:t>
            </w:r>
          </w:p>
        </w:tc>
      </w:tr>
      <w:tr>
        <w:tc>
          <w:tcPr>
            <w:tcW w:type="dxa" w:w="2484"/>
          </w:tcPr>
          <w:p>
            <w:r>
              <w:rPr>
                <w:rFonts w:ascii="Calibri" w:hAnsi="Calibri"/>
                <w:b/>
                <w:sz w:val="19"/>
              </w:rPr>
              <w:t>Category &amp; Status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sz w:val="19"/>
              </w:rPr>
              <w:t>Individual | Resident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/>
                <w:sz w:val="19"/>
              </w:rPr>
              <w:t>AY / FY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sz w:val="19"/>
              </w:rPr>
              <w:t>AY 2027-28 (FY 2026-27)</w:t>
            </w:r>
          </w:p>
        </w:tc>
      </w:tr>
      <w:tr>
        <w:tc>
          <w:tcPr>
            <w:tcW w:type="dxa" w:w="2484"/>
          </w:tcPr>
          <w:p>
            <w:r>
              <w:rPr>
                <w:rFonts w:ascii="Calibri" w:hAnsi="Calibri"/>
                <w:b/>
                <w:sz w:val="19"/>
              </w:rPr>
              <w:t>Capital Asset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sz w:val="19"/>
              </w:rPr>
              <w:t>Land &amp; Building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/>
                <w:sz w:val="19"/>
              </w:rPr>
              <w:t>Holding Period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sz w:val="19"/>
              </w:rPr>
              <w:t>251.1 Months (LONG_TERM)</w:t>
            </w:r>
          </w:p>
        </w:tc>
      </w:tr>
      <w:tr>
        <w:tc>
          <w:tcPr>
            <w:tcW w:type="dxa" w:w="2484"/>
          </w:tcPr>
          <w:p>
            <w:r>
              <w:rPr>
                <w:rFonts w:ascii="Calibri" w:hAnsi="Calibri"/>
                <w:b/>
                <w:sz w:val="19"/>
              </w:rPr>
              <w:t>Acquisition Date &amp; CII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sz w:val="19"/>
              </w:rPr>
              <w:t>17/09/2005 (CII: 117)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b/>
                <w:sz w:val="19"/>
              </w:rPr>
              <w:t>Sale Date &amp; CII</w:t>
            </w:r>
          </w:p>
        </w:tc>
        <w:tc>
          <w:tcPr>
            <w:tcW w:type="dxa" w:w="2484"/>
          </w:tcPr>
          <w:p>
            <w:r>
              <w:rPr>
                <w:rFonts w:ascii="Calibri" w:hAnsi="Calibri"/>
                <w:sz w:val="19"/>
              </w:rPr>
              <w:t>20/08/2026 (CII: 392)</w:t>
            </w:r>
          </w:p>
        </w:tc>
      </w:tr>
    </w:tbl>
    <w:p/>
    <w:p>
      <w:pPr>
        <w:pStyle w:val="Heading2"/>
      </w:pPr>
      <w:r>
        <w:t>2. Side-by-Side Capital Gains Tax Computation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color w:val="1E3A8A"/>
              </w:rPr>
              <w:t>Particulars</w:t>
            </w:r>
          </w:p>
        </w:tc>
        <w:tc>
          <w:tcPr>
            <w:tcW w:type="dxa" w:w="3312"/>
          </w:tcPr>
          <w:p>
            <w:r>
              <w:rPr>
                <w:b/>
                <w:color w:val="1E3A8A"/>
              </w:rPr>
              <w:t>12.5% Without Indexation</w:t>
            </w:r>
          </w:p>
        </w:tc>
        <w:tc>
          <w:tcPr>
            <w:tcW w:type="dxa" w:w="3312"/>
          </w:tcPr>
          <w:p>
            <w:r>
              <w:rPr>
                <w:b/>
                <w:color w:val="1E3A8A"/>
              </w:rPr>
              <w:t>20% With Indexation</w:t>
            </w:r>
          </w:p>
        </w:tc>
      </w:tr>
      <w:tr>
        <w:tc>
          <w:tcPr>
            <w:tcW w:type="dxa" w:w="3312"/>
          </w:tcPr>
          <w:p>
            <w:r>
              <w:t>Gross Sale Consideration</w:t>
            </w:r>
          </w:p>
        </w:tc>
        <w:tc>
          <w:tcPr>
            <w:tcW w:type="dxa" w:w="3312"/>
          </w:tcPr>
          <w:p>
            <w:r>
              <w:t>₹1,52,00,000</w:t>
            </w:r>
          </w:p>
        </w:tc>
        <w:tc>
          <w:tcPr>
            <w:tcW w:type="dxa" w:w="3312"/>
          </w:tcPr>
          <w:p>
            <w:r>
              <w:t>₹1,52,00,000</w:t>
            </w:r>
          </w:p>
        </w:tc>
      </w:tr>
      <w:tr>
        <w:tc>
          <w:tcPr>
            <w:tcW w:type="dxa" w:w="3312"/>
          </w:tcPr>
          <w:p>
            <w:r>
              <w:t>Less: Transfer Expenses</w:t>
            </w:r>
          </w:p>
        </w:tc>
        <w:tc>
          <w:tcPr>
            <w:tcW w:type="dxa" w:w="3312"/>
          </w:tcPr>
          <w:p>
            <w:r>
              <w:t>₹3,70,000</w:t>
            </w:r>
          </w:p>
        </w:tc>
        <w:tc>
          <w:tcPr>
            <w:tcW w:type="dxa" w:w="3312"/>
          </w:tcPr>
          <w:p>
            <w:r>
              <w:t>₹3,70,000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Net Sale Consideration</w:t>
            </w:r>
          </w:p>
        </w:tc>
        <w:tc>
          <w:tcPr>
            <w:tcW w:type="dxa" w:w="3312"/>
          </w:tcPr>
          <w:p>
            <w:r>
              <w:rPr>
                <w:b/>
              </w:rPr>
              <w:t>₹1,48,30,000</w:t>
            </w:r>
          </w:p>
        </w:tc>
        <w:tc>
          <w:tcPr>
            <w:tcW w:type="dxa" w:w="3312"/>
          </w:tcPr>
          <w:p>
            <w:r>
              <w:rPr>
                <w:b/>
              </w:rPr>
              <w:t>₹1,48,30,000</w:t>
            </w:r>
          </w:p>
        </w:tc>
      </w:tr>
      <w:tr>
        <w:tc>
          <w:tcPr>
            <w:tcW w:type="dxa" w:w="3312"/>
          </w:tcPr>
          <w:p>
            <w:r>
              <w:t>Cost of Acquisition (Adopted)</w:t>
            </w:r>
          </w:p>
        </w:tc>
        <w:tc>
          <w:tcPr>
            <w:tcW w:type="dxa" w:w="3312"/>
          </w:tcPr>
          <w:p>
            <w:r>
              <w:t>₹37,00,000</w:t>
            </w:r>
          </w:p>
        </w:tc>
        <w:tc>
          <w:tcPr>
            <w:tcW w:type="dxa" w:w="3312"/>
          </w:tcPr>
          <w:p>
            <w:r>
              <w:t>₹1,23,96,581</w:t>
            </w:r>
          </w:p>
        </w:tc>
      </w:tr>
      <w:tr>
        <w:tc>
          <w:tcPr>
            <w:tcW w:type="dxa" w:w="3312"/>
          </w:tcPr>
          <w:p>
            <w:r>
              <w:t>Cost of Improvement</w:t>
            </w:r>
          </w:p>
        </w:tc>
        <w:tc>
          <w:tcPr>
            <w:tcW w:type="dxa" w:w="3312"/>
          </w:tcPr>
          <w:p>
            <w:r>
              <w:t>₹35,00,000</w:t>
            </w:r>
          </w:p>
        </w:tc>
        <w:tc>
          <w:tcPr>
            <w:tcW w:type="dxa" w:w="3312"/>
          </w:tcPr>
          <w:p>
            <w:r>
              <w:t>₹50,44,118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Taxable Long-Term Capital Gain</w:t>
            </w:r>
          </w:p>
        </w:tc>
        <w:tc>
          <w:tcPr>
            <w:tcW w:type="dxa" w:w="3312"/>
          </w:tcPr>
          <w:p>
            <w:r>
              <w:rPr>
                <w:b/>
              </w:rPr>
              <w:t>₹76,30,000</w:t>
            </w:r>
          </w:p>
        </w:tc>
        <w:tc>
          <w:tcPr>
            <w:tcW w:type="dxa" w:w="3312"/>
          </w:tcPr>
          <w:p>
            <w:r>
              <w:rPr>
                <w:b/>
              </w:rPr>
              <w:t>₹0</w:t>
            </w:r>
          </w:p>
        </w:tc>
      </w:tr>
      <w:tr>
        <w:tc>
          <w:tcPr>
            <w:tcW w:type="dxa" w:w="3312"/>
          </w:tcPr>
          <w:p>
            <w:r>
              <w:t>Statutory Tax Rate</w:t>
            </w:r>
          </w:p>
        </w:tc>
        <w:tc>
          <w:tcPr>
            <w:tcW w:type="dxa" w:w="3312"/>
          </w:tcPr>
          <w:p>
            <w:r>
              <w:t>12.5%</w:t>
            </w:r>
          </w:p>
        </w:tc>
        <w:tc>
          <w:tcPr>
            <w:tcW w:type="dxa" w:w="3312"/>
          </w:tcPr>
          <w:p>
            <w:r>
              <w:t>20.0%</w:t>
            </w:r>
          </w:p>
        </w:tc>
      </w:tr>
      <w:tr>
        <w:tc>
          <w:tcPr>
            <w:tcW w:type="dxa" w:w="3312"/>
          </w:tcPr>
          <w:p>
            <w:r>
              <w:t>Basic Capital Gains Tax</w:t>
            </w:r>
          </w:p>
        </w:tc>
        <w:tc>
          <w:tcPr>
            <w:tcW w:type="dxa" w:w="3312"/>
          </w:tcPr>
          <w:p>
            <w:r>
              <w:t>₹9,53,750</w:t>
            </w:r>
          </w:p>
        </w:tc>
        <w:tc>
          <w:tcPr>
            <w:tcW w:type="dxa" w:w="3312"/>
          </w:tcPr>
          <w:p>
            <w:r>
              <w:t>₹0</w:t>
            </w:r>
          </w:p>
        </w:tc>
      </w:tr>
      <w:tr>
        <w:tc>
          <w:tcPr>
            <w:tcW w:type="dxa" w:w="3312"/>
          </w:tcPr>
          <w:p>
            <w:r>
              <w:t>Surcharge (10.0%)</w:t>
            </w:r>
          </w:p>
        </w:tc>
        <w:tc>
          <w:tcPr>
            <w:tcW w:type="dxa" w:w="3312"/>
          </w:tcPr>
          <w:p>
            <w:r>
              <w:t>₹95,375</w:t>
            </w:r>
          </w:p>
        </w:tc>
        <w:tc>
          <w:tcPr>
            <w:tcW w:type="dxa" w:w="3312"/>
          </w:tcPr>
          <w:p>
            <w:r>
              <w:t>₹0</w:t>
            </w:r>
          </w:p>
        </w:tc>
      </w:tr>
      <w:tr>
        <w:tc>
          <w:tcPr>
            <w:tcW w:type="dxa" w:w="3312"/>
          </w:tcPr>
          <w:p>
            <w:r>
              <w:t>Health &amp; Education Cess (4.0%)</w:t>
            </w:r>
          </w:p>
        </w:tc>
        <w:tc>
          <w:tcPr>
            <w:tcW w:type="dxa" w:w="3312"/>
          </w:tcPr>
          <w:p>
            <w:r>
              <w:t>₹41,965</w:t>
            </w:r>
          </w:p>
        </w:tc>
        <w:tc>
          <w:tcPr>
            <w:tcW w:type="dxa" w:w="3312"/>
          </w:tcPr>
          <w:p>
            <w:r>
              <w:t>₹0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TOTAL TAX LIABILITY (u/s 288B)</w:t>
            </w:r>
          </w:p>
        </w:tc>
        <w:tc>
          <w:tcPr>
            <w:tcW w:type="dxa" w:w="3312"/>
          </w:tcPr>
          <w:p>
            <w:r>
              <w:rPr>
                <w:b/>
              </w:rPr>
              <w:t>₹10,91,090</w:t>
            </w:r>
          </w:p>
        </w:tc>
        <w:tc>
          <w:tcPr>
            <w:tcW w:type="dxa" w:w="3312"/>
          </w:tcPr>
          <w:p>
            <w:r>
              <w:rPr>
                <w:b/>
              </w:rPr>
              <w:t>₹0</w:t>
            </w:r>
          </w:p>
        </w:tc>
      </w:tr>
    </w:tbl>
    <w:p/>
    <w:p>
      <w:pPr>
        <w:pStyle w:val="Heading2"/>
      </w:pPr>
      <w:r>
        <w:t>3. Statutory Analysis &amp; Grounds</w:t>
      </w:r>
    </w:p>
    <w:p>
      <w:r>
        <w:t>Statutory basis: In terms of the second proviso to Section 112(1)(a) inserted by the Finance (No. 2) Act, 2024, for a resident individual or HUF transferring land or building acquired prior to 23-07-2024, the tax payable shall not exceed the tax computed under the pre-amendment provisions (i.e. at 20% with indexation). Hence, the assessee is legally entitled to pay the lower of the two tax liabilities.</w:t>
      </w:r>
    </w:p>
    <w:p>
      <w:r>
        <w:rPr>
          <w:b/>
        </w:rPr>
        <w:t xml:space="preserve">Legacy Asset Grandfathering (Section 55(2)(b)): </w:t>
      </w:r>
      <w:r>
        <w:t>Acquired on or after 01-04-2001. Actual cost of acquisition considered.</w:t>
      </w:r>
    </w:p>
    <w:p/>
    <w:p>
      <w:r>
        <w:rPr>
          <w:i/>
          <w:color w:val="64748B"/>
          <w:sz w:val="18"/>
        </w:rPr>
        <w:t>“This report is a calculation aid and should be reviewed with reference to the applicable provisions of the Income-tax Act, Rules, notifications and circulars for the relevant Assessment Year.”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