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AICA &amp; ASSOCIATES</w:t>
        <w:br/>
      </w:r>
      <w:r>
        <w:rPr>
          <w:color w:val="4A5568"/>
          <w:sz w:val="19"/>
        </w:rPr>
        <w:t>CHARTERED ACCOUNTANTS</w:t>
        <w:br/>
        <w:t>ICAI Firm Registration No: 104522W | Peer Review Certified Firm</w:t>
        <w:br/>
      </w:r>
    </w:p>
    <w:p>
      <w:pPr>
        <w:jc w:val="center"/>
      </w:pPr>
      <w:r>
        <w:rPr>
          <w:color w:val="C8C8C8"/>
        </w:rPr>
        <w:t>―――――――――――――――――――――――――――――――――――――――――――――</w:t>
      </w:r>
    </w:p>
    <w:p>
      <w:pPr>
        <w:jc w:val="center"/>
      </w:pPr>
      <w:r>
        <w:rPr>
          <w:b/>
          <w:color w:val="0F172A"/>
          <w:sz w:val="30"/>
        </w:rPr>
        <w:t>AUDIT OBSERVATION &amp; QUERY SUMMARY MEMO</w:t>
        <w:br/>
      </w:r>
    </w:p>
    <w:p/>
    <w:tbl>
      <w:tblPr>
        <w:tblW w:type="auto" w:w="0"/>
        <w:jc w:val="center"/>
        <w:tblLayout w:type="fixed"/>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19"/>
              </w:rPr>
              <w:t>Client Name &amp; Code:</w:t>
            </w:r>
          </w:p>
        </w:tc>
        <w:tc>
          <w:tcPr>
            <w:tcW w:type="dxa" w:w="6480"/>
            <w:tcMar>
              <w:top w:w="60" w:type="dxa"/>
              <w:bottom w:w="60" w:type="dxa"/>
              <w:left w:w="100" w:type="dxa"/>
              <w:right w:w="100" w:type="dxa"/>
            </w:tcMar>
          </w:tcPr>
          <w:p>
            <w:r>
              <w:rPr>
                <w:sz w:val="19"/>
              </w:rPr>
              <w:t>ABC Analytics Private Limited (CL006)</w:t>
            </w:r>
          </w:p>
        </w:tc>
      </w:tr>
      <w:tr>
        <w:tc>
          <w:tcPr>
            <w:tcW w:type="dxa" w:w="3312"/>
            <w:shd w:fill="F1F5F9"/>
            <w:tcMar>
              <w:top w:w="60" w:type="dxa"/>
              <w:bottom w:w="60" w:type="dxa"/>
              <w:left w:w="100" w:type="dxa"/>
              <w:right w:w="100" w:type="dxa"/>
            </w:tcMar>
          </w:tcPr>
          <w:p>
            <w:r>
              <w:rPr>
                <w:b/>
                <w:sz w:val="19"/>
              </w:rPr>
              <w:t>Financial Year &amp; Audit Type:</w:t>
            </w:r>
          </w:p>
        </w:tc>
        <w:tc>
          <w:tcPr>
            <w:tcW w:type="dxa" w:w="6480"/>
            <w:tcMar>
              <w:top w:w="60" w:type="dxa"/>
              <w:bottom w:w="60" w:type="dxa"/>
              <w:left w:w="100" w:type="dxa"/>
              <w:right w:w="100" w:type="dxa"/>
            </w:tcMar>
          </w:tcPr>
          <w:p>
            <w:r>
              <w:rPr>
                <w:sz w:val="19"/>
              </w:rPr>
              <w:t>2025-26 | Statutory Audit</w:t>
            </w:r>
          </w:p>
        </w:tc>
      </w:tr>
      <w:tr>
        <w:tc>
          <w:tcPr>
            <w:tcW w:type="dxa" w:w="3312"/>
            <w:shd w:fill="F1F5F9"/>
            <w:tcMar>
              <w:top w:w="60" w:type="dxa"/>
              <w:bottom w:w="60" w:type="dxa"/>
              <w:left w:w="100" w:type="dxa"/>
              <w:right w:w="100" w:type="dxa"/>
            </w:tcMar>
          </w:tcPr>
          <w:p>
            <w:r>
              <w:rPr>
                <w:b/>
                <w:sz w:val="19"/>
              </w:rPr>
              <w:t>Audit Period Under Review:</w:t>
            </w:r>
          </w:p>
        </w:tc>
        <w:tc>
          <w:tcPr>
            <w:tcW w:type="dxa" w:w="6480"/>
            <w:tcMar>
              <w:top w:w="60" w:type="dxa"/>
              <w:bottom w:w="60" w:type="dxa"/>
              <w:left w:w="100" w:type="dxa"/>
              <w:right w:w="100" w:type="dxa"/>
            </w:tcMar>
          </w:tcPr>
          <w:p>
            <w:r>
              <w:rPr>
                <w:sz w:val="19"/>
              </w:rPr>
              <w:t>01-Apr-2025 to 31-Mar-2026</w:t>
            </w:r>
          </w:p>
        </w:tc>
      </w:tr>
      <w:tr>
        <w:tc>
          <w:tcPr>
            <w:tcW w:type="dxa" w:w="3312"/>
            <w:shd w:fill="F1F5F9"/>
            <w:tcMar>
              <w:top w:w="60" w:type="dxa"/>
              <w:bottom w:w="60" w:type="dxa"/>
              <w:left w:w="100" w:type="dxa"/>
              <w:right w:w="100" w:type="dxa"/>
            </w:tcMar>
          </w:tcPr>
          <w:p>
            <w:r>
              <w:rPr>
                <w:b/>
                <w:sz w:val="19"/>
              </w:rPr>
              <w:t>Engagement Code &amp; Status:</w:t>
            </w:r>
          </w:p>
        </w:tc>
        <w:tc>
          <w:tcPr>
            <w:tcW w:type="dxa" w:w="6480"/>
            <w:tcMar>
              <w:top w:w="60" w:type="dxa"/>
              <w:bottom w:w="60" w:type="dxa"/>
              <w:left w:w="100" w:type="dxa"/>
              <w:right w:w="100" w:type="dxa"/>
            </w:tcMar>
          </w:tcPr>
          <w:p>
            <w:r>
              <w:rPr>
                <w:sz w:val="19"/>
              </w:rPr>
              <w:t>CL006/FY2526/SA (In Progress)</w:t>
            </w:r>
          </w:p>
        </w:tc>
      </w:tr>
      <w:tr>
        <w:tc>
          <w:tcPr>
            <w:tcW w:type="dxa" w:w="3312"/>
            <w:shd w:fill="F1F5F9"/>
            <w:tcMar>
              <w:top w:w="60" w:type="dxa"/>
              <w:bottom w:w="60" w:type="dxa"/>
              <w:left w:w="100" w:type="dxa"/>
              <w:right w:w="100" w:type="dxa"/>
            </w:tcMar>
          </w:tcPr>
          <w:p>
            <w:r>
              <w:rPr>
                <w:b/>
                <w:sz w:val="19"/>
              </w:rPr>
              <w:t>Engagement Team Leadership:</w:t>
            </w:r>
          </w:p>
        </w:tc>
        <w:tc>
          <w:tcPr>
            <w:tcW w:type="dxa" w:w="6480"/>
            <w:tcMar>
              <w:top w:w="60" w:type="dxa"/>
              <w:bottom w:w="60" w:type="dxa"/>
              <w:left w:w="100" w:type="dxa"/>
              <w:right w:w="100" w:type="dxa"/>
            </w:tcMar>
          </w:tcPr>
          <w:p>
            <w:r>
              <w:rPr>
                <w:sz w:val="19"/>
              </w:rPr>
              <w:t>Lead Partner: CA Rajesh Sharma | Manager: CA Amit Verma</w:t>
            </w:r>
          </w:p>
        </w:tc>
      </w:tr>
      <w:tr>
        <w:tc>
          <w:tcPr>
            <w:tcW w:type="dxa" w:w="3312"/>
            <w:shd w:fill="F1F5F9"/>
            <w:tcMar>
              <w:top w:w="60" w:type="dxa"/>
              <w:bottom w:w="60" w:type="dxa"/>
              <w:left w:w="100" w:type="dxa"/>
              <w:right w:w="100" w:type="dxa"/>
            </w:tcMar>
          </w:tcPr>
          <w:p>
            <w:r>
              <w:rPr>
                <w:b/>
                <w:sz w:val="19"/>
              </w:rPr>
              <w:t>Memo Date &amp; Version:</w:t>
            </w:r>
          </w:p>
        </w:tc>
        <w:tc>
          <w:tcPr>
            <w:tcW w:type="dxa" w:w="6480"/>
            <w:tcMar>
              <w:top w:w="60" w:type="dxa"/>
              <w:bottom w:w="60" w:type="dxa"/>
              <w:left w:w="100" w:type="dxa"/>
              <w:right w:w="100" w:type="dxa"/>
            </w:tcMar>
          </w:tcPr>
          <w:p>
            <w:r>
              <w:rPr>
                <w:sz w:val="19"/>
              </w:rPr>
              <w:t>12-Sep-2026 | Version v1.1 Final</w:t>
            </w:r>
          </w:p>
        </w:tc>
      </w:tr>
    </w:tbl>
    <w:p/>
    <w:p>
      <w:pPr>
        <w:pStyle w:val="Heading1"/>
      </w:pPr>
      <w:r>
        <w:rPr>
          <w:color w:val="1A365D"/>
        </w:rPr>
        <w:t>1. Scope &amp; Basis of Preparation</w:t>
      </w:r>
    </w:p>
    <w:p>
      <w:pPr>
        <w:spacing w:line="276" w:lineRule="auto"/>
      </w:pPr>
      <w:r>
        <w:t>This Audit Observation &amp; Query Summary Memorandum is prepared by AICA &amp; Associates in connection with our Statutory Audit of ABC Analytics Private Limited for the financial year 2025-26. The primary objective of this tracker and memo is to systematically document all queries, information requests, and audit observations identified during the audit engagement, record management explanations and remediation evidence, and summarize the final disposition of each matter in accordance with Standards on Auditing (SA 230: Audit Documentation and SA 260: Communication with Those Charged with Governance) issued by the Institute of Chartered Accountants of India (ICAI).</w:t>
      </w:r>
    </w:p>
    <w:p>
      <w:pPr>
        <w:pStyle w:val="Heading1"/>
      </w:pPr>
      <w:r>
        <w:rPr>
          <w:color w:val="1A365D"/>
        </w:rPr>
        <w:t>2. Query Lifecycle &amp; Disposition Summary</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Disposition Category</w:t>
            </w:r>
          </w:p>
        </w:tc>
        <w:tc>
          <w:tcPr>
            <w:tcW w:type="dxa" w:w="3312"/>
            <w:shd w:fill="1E293B"/>
          </w:tcPr>
          <w:p>
            <w:r>
              <w:rPr>
                <w:b/>
                <w:color w:val="FFFFFF"/>
                <w:sz w:val="19"/>
              </w:rPr>
              <w:t>Count of Queries</w:t>
            </w:r>
          </w:p>
        </w:tc>
        <w:tc>
          <w:tcPr>
            <w:tcW w:type="dxa" w:w="3312"/>
            <w:shd w:fill="1E293B"/>
          </w:tcPr>
          <w:p>
            <w:r>
              <w:rPr>
                <w:b/>
                <w:color w:val="FFFFFF"/>
                <w:sz w:val="19"/>
              </w:rPr>
              <w:t>% of Total Portfolio</w:t>
            </w:r>
          </w:p>
        </w:tc>
      </w:tr>
      <w:tr>
        <w:tc>
          <w:tcPr>
            <w:tcW w:type="dxa" w:w="3312"/>
          </w:tcPr>
          <w:p>
            <w:r>
              <w:rPr>
                <w:sz w:val="18"/>
              </w:rPr>
              <w:t>Closed Normally with Management Evidence</w:t>
            </w:r>
          </w:p>
        </w:tc>
        <w:tc>
          <w:tcPr>
            <w:tcW w:type="dxa" w:w="3312"/>
          </w:tcPr>
          <w:p>
            <w:r>
              <w:rPr>
                <w:sz w:val="18"/>
              </w:rPr>
              <w:t>1</w:t>
            </w:r>
          </w:p>
        </w:tc>
        <w:tc>
          <w:tcPr>
            <w:tcW w:type="dxa" w:w="3312"/>
          </w:tcPr>
          <w:p>
            <w:r>
              <w:rPr>
                <w:sz w:val="18"/>
              </w:rPr>
              <w:t>100.0%</w:t>
            </w:r>
          </w:p>
        </w:tc>
      </w:tr>
      <w:tr>
        <w:tc>
          <w:tcPr>
            <w:tcW w:type="dxa" w:w="3312"/>
          </w:tcPr>
          <w:p>
            <w:r>
              <w:rPr>
                <w:sz w:val="18"/>
              </w:rPr>
              <w:t>Closed via Audit Partner Exception Approval</w:t>
            </w:r>
          </w:p>
        </w:tc>
        <w:tc>
          <w:tcPr>
            <w:tcW w:type="dxa" w:w="3312"/>
          </w:tcPr>
          <w:p>
            <w:r>
              <w:rPr>
                <w:sz w:val="18"/>
              </w:rPr>
              <w:t>0</w:t>
            </w:r>
          </w:p>
        </w:tc>
        <w:tc>
          <w:tcPr>
            <w:tcW w:type="dxa" w:w="3312"/>
          </w:tcPr>
          <w:p>
            <w:r>
              <w:rPr>
                <w:sz w:val="18"/>
              </w:rPr>
              <w:t>0.0%</w:t>
            </w:r>
          </w:p>
        </w:tc>
      </w:tr>
      <w:tr>
        <w:tc>
          <w:tcPr>
            <w:tcW w:type="dxa" w:w="3312"/>
          </w:tcPr>
          <w:p>
            <w:r>
              <w:rPr>
                <w:sz w:val="18"/>
              </w:rPr>
              <w:t>Withdrawn / Superseded by Audit Team</w:t>
            </w:r>
          </w:p>
        </w:tc>
        <w:tc>
          <w:tcPr>
            <w:tcW w:type="dxa" w:w="3312"/>
          </w:tcPr>
          <w:p>
            <w:r>
              <w:rPr>
                <w:sz w:val="18"/>
              </w:rPr>
              <w:t>0</w:t>
            </w:r>
          </w:p>
        </w:tc>
        <w:tc>
          <w:tcPr>
            <w:tcW w:type="dxa" w:w="3312"/>
          </w:tcPr>
          <w:p>
            <w:r>
              <w:rPr>
                <w:sz w:val="18"/>
              </w:rPr>
              <w:t>0.0%</w:t>
            </w:r>
          </w:p>
        </w:tc>
      </w:tr>
      <w:tr>
        <w:tc>
          <w:tcPr>
            <w:tcW w:type="dxa" w:w="3312"/>
          </w:tcPr>
          <w:p>
            <w:r>
              <w:rPr>
                <w:sz w:val="18"/>
              </w:rPr>
              <w:t>Open Items (Accepted via EX-03 Exception)</w:t>
            </w:r>
          </w:p>
        </w:tc>
        <w:tc>
          <w:tcPr>
            <w:tcW w:type="dxa" w:w="3312"/>
          </w:tcPr>
          <w:p>
            <w:r>
              <w:rPr>
                <w:sz w:val="18"/>
              </w:rPr>
              <w:t>0</w:t>
            </w:r>
          </w:p>
        </w:tc>
        <w:tc>
          <w:tcPr>
            <w:tcW w:type="dxa" w:w="3312"/>
          </w:tcPr>
          <w:p>
            <w:r>
              <w:rPr>
                <w:sz w:val="18"/>
              </w:rPr>
              <w:t>0.0%</w:t>
            </w:r>
          </w:p>
        </w:tc>
      </w:tr>
      <w:tr>
        <w:tc>
          <w:tcPr>
            <w:tcW w:type="dxa" w:w="3312"/>
            <w:shd w:fill="F1F5F9"/>
          </w:tcPr>
          <w:p>
            <w:r>
              <w:rPr>
                <w:b/>
                <w:sz w:val="18"/>
              </w:rPr>
              <w:t>Total Audit Queries &amp; Observations Raised</w:t>
            </w:r>
          </w:p>
        </w:tc>
        <w:tc>
          <w:tcPr>
            <w:tcW w:type="dxa" w:w="3312"/>
            <w:shd w:fill="F1F5F9"/>
          </w:tcPr>
          <w:p>
            <w:r>
              <w:rPr>
                <w:b/>
                <w:sz w:val="18"/>
              </w:rPr>
              <w:t>1</w:t>
            </w:r>
          </w:p>
        </w:tc>
        <w:tc>
          <w:tcPr>
            <w:tcW w:type="dxa" w:w="3312"/>
            <w:shd w:fill="F1F5F9"/>
          </w:tcPr>
          <w:p>
            <w:r>
              <w:rPr>
                <w:b/>
                <w:sz w:val="18"/>
              </w:rPr>
              <w:t>100.0%</w:t>
            </w:r>
          </w:p>
        </w:tc>
      </w:tr>
    </w:tbl>
    <w:p/>
    <w:p>
      <w:pPr>
        <w:pStyle w:val="Heading1"/>
      </w:pPr>
      <w:r>
        <w:rPr>
          <w:color w:val="1A365D"/>
        </w:rPr>
        <w:t>Annexure A — Master Audit Query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334155"/>
          </w:tcPr>
          <w:p>
            <w:r>
              <w:rPr>
                <w:b/>
                <w:color w:val="FFFFFF"/>
                <w:sz w:val="18"/>
              </w:rPr>
              <w:t>Query No</w:t>
            </w:r>
          </w:p>
        </w:tc>
        <w:tc>
          <w:tcPr>
            <w:tcW w:type="dxa" w:w="1656"/>
            <w:shd w:fill="334155"/>
          </w:tcPr>
          <w:p>
            <w:r>
              <w:rPr>
                <w:b/>
                <w:color w:val="FFFFFF"/>
                <w:sz w:val="18"/>
              </w:rPr>
              <w:t>Area</w:t>
            </w:r>
          </w:p>
        </w:tc>
        <w:tc>
          <w:tcPr>
            <w:tcW w:type="dxa" w:w="1656"/>
            <w:shd w:fill="334155"/>
          </w:tcPr>
          <w:p>
            <w:r>
              <w:rPr>
                <w:b/>
                <w:color w:val="FFFFFF"/>
                <w:sz w:val="18"/>
              </w:rPr>
              <w:t>Type</w:t>
            </w:r>
          </w:p>
        </w:tc>
        <w:tc>
          <w:tcPr>
            <w:tcW w:type="dxa" w:w="1656"/>
            <w:shd w:fill="334155"/>
          </w:tcPr>
          <w:p>
            <w:r>
              <w:rPr>
                <w:b/>
                <w:color w:val="FFFFFF"/>
                <w:sz w:val="18"/>
              </w:rPr>
              <w:t>Priority</w:t>
            </w:r>
          </w:p>
        </w:tc>
        <w:tc>
          <w:tcPr>
            <w:tcW w:type="dxa" w:w="1656"/>
            <w:shd w:fill="334155"/>
          </w:tcPr>
          <w:p>
            <w:r>
              <w:rPr>
                <w:b/>
                <w:color w:val="FFFFFF"/>
                <w:sz w:val="18"/>
              </w:rPr>
              <w:t>Status</w:t>
            </w:r>
          </w:p>
        </w:tc>
        <w:tc>
          <w:tcPr>
            <w:tcW w:type="dxa" w:w="1656"/>
            <w:shd w:fill="334155"/>
          </w:tcPr>
          <w:p>
            <w:r>
              <w:rPr>
                <w:b/>
                <w:color w:val="FFFFFF"/>
                <w:sz w:val="18"/>
              </w:rPr>
              <w:t>Closure Remarks</w:t>
            </w:r>
          </w:p>
        </w:tc>
      </w:tr>
      <w:tr>
        <w:tc>
          <w:tcPr>
            <w:tcW w:type="dxa" w:w="1656"/>
          </w:tcPr>
          <w:p>
            <w:r>
              <w:rPr>
                <w:sz w:val="17"/>
              </w:rPr>
              <w:t>CL006/FY2526/SA/0001</w:t>
            </w:r>
          </w:p>
        </w:tc>
        <w:tc>
          <w:tcPr>
            <w:tcW w:type="dxa" w:w="1656"/>
          </w:tcPr>
          <w:p>
            <w:r>
              <w:rPr>
                <w:sz w:val="17"/>
              </w:rPr>
              <w:t>Property, Plant &amp; Equipment / Fixed Assets</w:t>
            </w:r>
          </w:p>
        </w:tc>
        <w:tc>
          <w:tcPr>
            <w:tcW w:type="dxa" w:w="1656"/>
          </w:tcPr>
          <w:p>
            <w:r>
              <w:rPr>
                <w:sz w:val="17"/>
              </w:rPr>
              <w:t>Observation</w:t>
            </w:r>
          </w:p>
        </w:tc>
        <w:tc>
          <w:tcPr>
            <w:tcW w:type="dxa" w:w="1656"/>
          </w:tcPr>
          <w:p>
            <w:r>
              <w:rPr>
                <w:sz w:val="17"/>
              </w:rPr>
              <w:t>Medium</w:t>
            </w:r>
          </w:p>
        </w:tc>
        <w:tc>
          <w:tcPr>
            <w:tcW w:type="dxa" w:w="1656"/>
          </w:tcPr>
          <w:p>
            <w:r>
              <w:rPr>
                <w:sz w:val="17"/>
              </w:rPr>
              <w:t>Closed</w:t>
            </w:r>
          </w:p>
        </w:tc>
        <w:tc>
          <w:tcPr>
            <w:tcW w:type="dxa" w:w="1656"/>
          </w:tcPr>
          <w:p>
            <w:r>
              <w:rPr>
                <w:sz w:val="17"/>
              </w:rPr>
              <w:t>received the updated FAR</w:t>
            </w:r>
          </w:p>
        </w:tc>
      </w:tr>
    </w:tbl>
    <w:p/>
    <w:p>
      <w:pPr>
        <w:pStyle w:val="Heading1"/>
      </w:pPr>
      <w:r>
        <w:rPr>
          <w:color w:val="1A365D"/>
        </w:rPr>
        <w:t>Annexure B — Key Observations &amp; Control Deficiencies (5-Element Structure)</w:t>
      </w:r>
    </w:p>
    <w:p>
      <w:pPr>
        <w:pStyle w:val="Heading2"/>
      </w:pPr>
      <w:r>
        <w:rPr>
          <w:color w:val="1E293B"/>
          <w:sz w:val="22"/>
        </w:rPr>
        <w:t>Observation 1: CL006/FY2526/SA/0001 — FAR</w:t>
      </w:r>
    </w:p>
    <w:tbl>
      <w:tblPr>
        <w:tblW w:type="auto" w:w="0"/>
        <w:jc w:val="center"/>
        <w:tblLook w:firstColumn="1" w:firstRow="1" w:lastColumn="0" w:lastRow="0" w:noHBand="0" w:noVBand="1" w:val="04A0"/>
      </w:tblPr>
      <w:tblGrid>
        <w:gridCol w:w="4968"/>
        <w:gridCol w:w="4968"/>
      </w:tblGrid>
      <w:tr>
        <w:tc>
          <w:tcPr>
            <w:tcW w:type="dxa" w:w="3168"/>
            <w:shd w:fill="F8FAFC"/>
            <w:tcMar>
              <w:top w:w="40" w:type="dxa"/>
              <w:bottom w:w="40" w:type="dxa"/>
              <w:left w:w="80" w:type="dxa"/>
              <w:right w:w="80" w:type="dxa"/>
            </w:tcMar>
          </w:tcPr>
          <w:p>
            <w:r>
              <w:rPr>
                <w:b/>
                <w:sz w:val="17"/>
              </w:rPr>
              <w:t>1. Condition (What was found):</w:t>
            </w:r>
          </w:p>
        </w:tc>
        <w:tc>
          <w:tcPr>
            <w:tcW w:type="dxa" w:w="6624"/>
            <w:tcMar>
              <w:top w:w="40" w:type="dxa"/>
              <w:bottom w:w="40" w:type="dxa"/>
              <w:left w:w="80" w:type="dxa"/>
              <w:right w:w="80" w:type="dxa"/>
            </w:tcMar>
          </w:tcPr>
          <w:p>
            <w:r>
              <w:rPr>
                <w:sz w:val="17"/>
              </w:rPr>
              <w:t>Variance in FAR Vs GL</w:t>
            </w:r>
          </w:p>
        </w:tc>
      </w:tr>
      <w:tr>
        <w:tc>
          <w:tcPr>
            <w:tcW w:type="dxa" w:w="3168"/>
            <w:shd w:fill="F8FAFC"/>
            <w:tcMar>
              <w:top w:w="40" w:type="dxa"/>
              <w:bottom w:w="40" w:type="dxa"/>
              <w:left w:w="80" w:type="dxa"/>
              <w:right w:w="80" w:type="dxa"/>
            </w:tcMar>
          </w:tcPr>
          <w:p>
            <w:r>
              <w:rPr>
                <w:b/>
                <w:sz w:val="17"/>
              </w:rPr>
              <w:t>2. Criteria (What should be / Standard):</w:t>
            </w:r>
          </w:p>
        </w:tc>
        <w:tc>
          <w:tcPr>
            <w:tcW w:type="dxa" w:w="6624"/>
            <w:tcMar>
              <w:top w:w="40" w:type="dxa"/>
              <w:bottom w:w="40" w:type="dxa"/>
              <w:left w:w="80" w:type="dxa"/>
              <w:right w:w="80" w:type="dxa"/>
            </w:tcMar>
          </w:tcPr>
          <w:p>
            <w:r>
              <w:rPr>
                <w:sz w:val="17"/>
              </w:rPr>
              <w:t>Applicable Accounting Standard / Internal Policy</w:t>
            </w:r>
          </w:p>
        </w:tc>
      </w:tr>
      <w:tr>
        <w:tc>
          <w:tcPr>
            <w:tcW w:type="dxa" w:w="3168"/>
            <w:shd w:fill="F8FAFC"/>
            <w:tcMar>
              <w:top w:w="40" w:type="dxa"/>
              <w:bottom w:w="40" w:type="dxa"/>
              <w:left w:w="80" w:type="dxa"/>
              <w:right w:w="80" w:type="dxa"/>
            </w:tcMar>
          </w:tcPr>
          <w:p>
            <w:r>
              <w:rPr>
                <w:b/>
                <w:sz w:val="17"/>
              </w:rPr>
              <w:t>3. Cause (Root Cause Analysis):</w:t>
            </w:r>
          </w:p>
        </w:tc>
        <w:tc>
          <w:tcPr>
            <w:tcW w:type="dxa" w:w="6624"/>
            <w:tcMar>
              <w:top w:w="40" w:type="dxa"/>
              <w:bottom w:w="40" w:type="dxa"/>
              <w:left w:w="80" w:type="dxa"/>
              <w:right w:w="80" w:type="dxa"/>
            </w:tcMar>
          </w:tcPr>
          <w:p>
            <w:r>
              <w:rPr>
                <w:sz w:val="17"/>
              </w:rPr>
              <w:t>Operational process variance</w:t>
            </w:r>
          </w:p>
        </w:tc>
      </w:tr>
      <w:tr>
        <w:tc>
          <w:tcPr>
            <w:tcW w:type="dxa" w:w="3168"/>
            <w:shd w:fill="F8FAFC"/>
            <w:tcMar>
              <w:top w:w="40" w:type="dxa"/>
              <w:bottom w:w="40" w:type="dxa"/>
              <w:left w:w="80" w:type="dxa"/>
              <w:right w:w="80" w:type="dxa"/>
            </w:tcMar>
          </w:tcPr>
          <w:p>
            <w:r>
              <w:rPr>
                <w:b/>
                <w:sz w:val="17"/>
              </w:rPr>
              <w:t>4. Effect / Risk (Financial / Compliance Impact):</w:t>
            </w:r>
          </w:p>
        </w:tc>
        <w:tc>
          <w:tcPr>
            <w:tcW w:type="dxa" w:w="6624"/>
            <w:tcMar>
              <w:top w:w="40" w:type="dxa"/>
              <w:bottom w:w="40" w:type="dxa"/>
              <w:left w:w="80" w:type="dxa"/>
              <w:right w:w="80" w:type="dxa"/>
            </w:tcMar>
          </w:tcPr>
          <w:p>
            <w:r>
              <w:rPr>
                <w:sz w:val="17"/>
              </w:rPr>
              <w:t>Risk Rating: Medium</w:t>
            </w:r>
          </w:p>
        </w:tc>
      </w:tr>
      <w:tr>
        <w:tc>
          <w:tcPr>
            <w:tcW w:type="dxa" w:w="3168"/>
            <w:shd w:fill="F8FAFC"/>
            <w:tcMar>
              <w:top w:w="40" w:type="dxa"/>
              <w:bottom w:w="40" w:type="dxa"/>
              <w:left w:w="80" w:type="dxa"/>
              <w:right w:w="80" w:type="dxa"/>
            </w:tcMar>
          </w:tcPr>
          <w:p>
            <w:r>
              <w:rPr>
                <w:b/>
                <w:sz w:val="17"/>
              </w:rPr>
              <w:t>5. Audit Recommendation:</w:t>
            </w:r>
          </w:p>
        </w:tc>
        <w:tc>
          <w:tcPr>
            <w:tcW w:type="dxa" w:w="6624"/>
            <w:tcMar>
              <w:top w:w="40" w:type="dxa"/>
              <w:bottom w:w="40" w:type="dxa"/>
              <w:left w:w="80" w:type="dxa"/>
              <w:right w:w="80" w:type="dxa"/>
            </w:tcMar>
          </w:tcPr>
          <w:p>
            <w:r>
              <w:rPr>
                <w:sz w:val="17"/>
              </w:rPr>
              <w:t>Strengthen internal review and reconciliation controls.</w:t>
            </w:r>
          </w:p>
        </w:tc>
      </w:tr>
      <w:tr>
        <w:tc>
          <w:tcPr>
            <w:tcW w:type="dxa" w:w="3168"/>
            <w:shd w:fill="F8FAFC"/>
            <w:tcMar>
              <w:top w:w="40" w:type="dxa"/>
              <w:bottom w:w="40" w:type="dxa"/>
              <w:left w:w="80" w:type="dxa"/>
              <w:right w:w="80" w:type="dxa"/>
            </w:tcMar>
          </w:tcPr>
          <w:p>
            <w:r>
              <w:rPr>
                <w:b/>
                <w:sz w:val="17"/>
              </w:rPr>
              <w:t>6. Client Management Response:</w:t>
            </w:r>
          </w:p>
        </w:tc>
        <w:tc>
          <w:tcPr>
            <w:tcW w:type="dxa" w:w="6624"/>
            <w:tcMar>
              <w:top w:w="40" w:type="dxa"/>
              <w:bottom w:w="40" w:type="dxa"/>
              <w:left w:w="80" w:type="dxa"/>
              <w:right w:w="80" w:type="dxa"/>
            </w:tcMar>
          </w:tcPr>
          <w:p>
            <w:r>
              <w:rPr>
                <w:sz w:val="17"/>
              </w:rPr>
              <w:t>No formal client response recorded.</w:t>
            </w:r>
          </w:p>
        </w:tc>
      </w:tr>
    </w:tbl>
    <w:p/>
    <w:p>
      <w:pPr>
        <w:pStyle w:val="Heading1"/>
      </w:pPr>
      <w:r>
        <w:rPr>
          <w:color w:val="1A365D"/>
        </w:rPr>
        <w:t>Annexure C — Audit Partner Exception Register</w:t>
      </w:r>
    </w:p>
    <w:p>
      <w:r>
        <w:t>No partner exceptions were requested or approved during this engagement.</w:t>
      </w:r>
    </w:p>
    <w:p/>
    <w:p>
      <w:pPr>
        <w:pStyle w:val="Heading1"/>
      </w:pPr>
      <w:r>
        <w:rPr>
          <w:color w:val="1A365D"/>
        </w:rPr>
        <w:t>Annexure D — Repeat Observations from Prior Year</w:t>
      </w:r>
    </w:p>
    <w:p>
      <w:r>
        <w:t>No repeat observations from prior audit cycles identified on this engagement.</w:t>
      </w:r>
    </w:p>
    <w:p/>
    <w:p>
      <w:pPr>
        <w:pStyle w:val="Heading1"/>
      </w:pPr>
      <w:r>
        <w:rPr>
          <w:color w:val="1A365D"/>
        </w:rPr>
        <w:t>3. Engagement Sign-Off &amp; Quality Review</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40" w:type="dxa"/>
              <w:bottom w:w="40" w:type="dxa"/>
              <w:left w:w="60" w:type="dxa"/>
              <w:right w:w="60" w:type="dxa"/>
            </w:tcMar>
          </w:tcPr>
          <w:p>
            <w:r>
              <w:rPr>
                <w:b/>
                <w:sz w:val="17"/>
              </w:rPr>
              <w:t>Prepared By (Senior/Manager)</w:t>
            </w:r>
          </w:p>
        </w:tc>
        <w:tc>
          <w:tcPr>
            <w:tcW w:type="dxa" w:w="3312"/>
            <w:shd w:fill="F1F5F9"/>
            <w:tcMar>
              <w:top w:w="40" w:type="dxa"/>
              <w:bottom w:w="40" w:type="dxa"/>
              <w:left w:w="60" w:type="dxa"/>
              <w:right w:w="60" w:type="dxa"/>
            </w:tcMar>
          </w:tcPr>
          <w:p>
            <w:r>
              <w:rPr>
                <w:b/>
                <w:sz w:val="17"/>
              </w:rPr>
              <w:t>Reviewed By (Manager/EQCR)</w:t>
            </w:r>
          </w:p>
        </w:tc>
        <w:tc>
          <w:tcPr>
            <w:tcW w:type="dxa" w:w="3312"/>
            <w:shd w:fill="F1F5F9"/>
            <w:tcMar>
              <w:top w:w="40" w:type="dxa"/>
              <w:bottom w:w="40" w:type="dxa"/>
              <w:left w:w="60" w:type="dxa"/>
              <w:right w:w="60" w:type="dxa"/>
            </w:tcMar>
          </w:tcPr>
          <w:p>
            <w:r>
              <w:rPr>
                <w:b/>
                <w:sz w:val="17"/>
              </w:rPr>
              <w:t>Approved By (Audit Partner)</w:t>
            </w:r>
          </w:p>
        </w:tc>
      </w:tr>
      <w:tr>
        <w:tc>
          <w:tcPr>
            <w:tcW w:type="dxa" w:w="3312"/>
            <w:tcMar>
              <w:top w:w="40" w:type="dxa"/>
              <w:bottom w:w="40" w:type="dxa"/>
              <w:left w:w="60" w:type="dxa"/>
              <w:right w:w="60" w:type="dxa"/>
            </w:tcMar>
          </w:tcPr>
          <w:p>
            <w:r>
              <w:rPr>
                <w:sz w:val="17"/>
              </w:rPr>
              <w:t>Name: CA Rajesh Sharma</w:t>
            </w:r>
          </w:p>
        </w:tc>
        <w:tc>
          <w:tcPr>
            <w:tcW w:type="dxa" w:w="3312"/>
            <w:tcMar>
              <w:top w:w="40" w:type="dxa"/>
              <w:bottom w:w="40" w:type="dxa"/>
              <w:left w:w="60" w:type="dxa"/>
              <w:right w:w="60" w:type="dxa"/>
            </w:tcMar>
          </w:tcPr>
          <w:p>
            <w:r>
              <w:rPr>
                <w:sz w:val="17"/>
              </w:rPr>
              <w:t>Name: CA Amit Verma</w:t>
            </w:r>
          </w:p>
        </w:tc>
        <w:tc>
          <w:tcPr>
            <w:tcW w:type="dxa" w:w="3312"/>
            <w:tcMar>
              <w:top w:w="40" w:type="dxa"/>
              <w:bottom w:w="40" w:type="dxa"/>
              <w:left w:w="60" w:type="dxa"/>
              <w:right w:w="60" w:type="dxa"/>
            </w:tcMar>
          </w:tcPr>
          <w:p>
            <w:r>
              <w:rPr>
                <w:sz w:val="17"/>
              </w:rPr>
              <w:t>Name: CA Rajesh Sharma</w:t>
            </w:r>
          </w:p>
        </w:tc>
      </w:tr>
      <w:tr>
        <w:tc>
          <w:tcPr>
            <w:tcW w:type="dxa" w:w="3312"/>
            <w:tcMar>
              <w:top w:w="40" w:type="dxa"/>
              <w:bottom w:w="40" w:type="dxa"/>
              <w:left w:w="60" w:type="dxa"/>
              <w:right w:w="60" w:type="dxa"/>
            </w:tcMar>
          </w:tcPr>
          <w:p>
            <w:r>
              <w:rPr>
                <w:sz w:val="17"/>
              </w:rPr>
              <w:t>Designation: Partner</w:t>
            </w:r>
          </w:p>
        </w:tc>
        <w:tc>
          <w:tcPr>
            <w:tcW w:type="dxa" w:w="3312"/>
            <w:tcMar>
              <w:top w:w="40" w:type="dxa"/>
              <w:bottom w:w="40" w:type="dxa"/>
              <w:left w:w="60" w:type="dxa"/>
              <w:right w:w="60" w:type="dxa"/>
            </w:tcMar>
          </w:tcPr>
          <w:p>
            <w:r>
              <w:rPr>
                <w:sz w:val="17"/>
              </w:rPr>
              <w:t>Designation: Audit Manager</w:t>
            </w:r>
          </w:p>
        </w:tc>
        <w:tc>
          <w:tcPr>
            <w:tcW w:type="dxa" w:w="3312"/>
            <w:tcMar>
              <w:top w:w="40" w:type="dxa"/>
              <w:bottom w:w="40" w:type="dxa"/>
              <w:left w:w="60" w:type="dxa"/>
              <w:right w:w="60" w:type="dxa"/>
            </w:tcMar>
          </w:tcPr>
          <w:p>
            <w:r>
              <w:rPr>
                <w:sz w:val="17"/>
              </w:rPr>
              <w:t>Membership No: 104522</w:t>
            </w:r>
          </w:p>
        </w:tc>
      </w:tr>
      <w:tr>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Signed Off on: 12-Sep-2026 13:03</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8508C"/>
        <w:sz w:val="18"/>
      </w:rPr>
      <w:t>CONFIDENTIAL — AUDIT MEMORANDUM (FINAL SIGNED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CL006/FY2526/SA | 2025-26 | v1.1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