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EA580C"/>
          <w:sz w:val="24"/>
        </w:rPr>
        <w:t>SW INDIA | CHARTERED ACCOUNTANTS</w:t>
      </w:r>
    </w:p>
    <w:p>
      <w:pPr>
        <w:spacing w:before="200" w:after="40"/>
      </w:pPr>
      <w:r>
        <w:rPr>
          <w:rFonts w:ascii="Segoe UI" w:hAnsi="Segoe UI"/>
          <w:b/>
          <w:color w:val="1B365D"/>
          <w:sz w:val="44"/>
        </w:rPr>
        <w:t>ANNUAL REPORT FINANCIAL STATEMENTS</w:t>
      </w:r>
    </w:p>
    <w:p>
      <w:r>
        <w:rPr>
          <w:rFonts w:ascii="Segoe UI" w:hAnsi="Segoe UI"/>
          <w:b/>
          <w:color w:val="64748B"/>
          <w:sz w:val="22"/>
        </w:rPr>
        <w:t>SCHEDULE III DIVISION I (IGAAP) &amp; AS 3 COMPLIANT</w:t>
      </w:r>
    </w:p>
    <w:p/>
    <w:tbl>
      <w:tblPr>
        <w:tblW w:type="auto" w:w="0"/>
        <w:jc w:val="center"/>
        <w:tblLook w:firstColumn="1" w:firstRow="1" w:lastColumn="0" w:lastRow="0" w:noHBand="0" w:noVBand="1" w:val="04A0"/>
      </w:tblPr>
      <w:tblGrid>
        <w:gridCol w:w="4874"/>
        <w:gridCol w:w="4874"/>
      </w:tblGrid>
      <w:tr>
        <w:tc>
          <w:tcPr>
            <w:tcW w:type="dxa" w:w="4874"/>
            <w:tcMar>
              <w:top w:w="60" w:type="dxa"/>
              <w:bottom w:w="60" w:type="dxa"/>
              <w:left w:w="100" w:type="dxa"/>
              <w:right w:w="100" w:type="dxa"/>
            </w:tcMar>
            <w:shd w:fill="F8FAFC"/>
          </w:tcPr>
          <w:p>
            <w:r>
              <w:rPr>
                <w:b/>
              </w:rPr>
              <w:t>Client Name:</w:t>
            </w:r>
          </w:p>
        </w:tc>
        <w:tc>
          <w:tcPr>
            <w:tcW w:type="dxa" w:w="4874"/>
            <w:tcMar>
              <w:top w:w="60" w:type="dxa"/>
              <w:bottom w:w="60" w:type="dxa"/>
              <w:left w:w="100" w:type="dxa"/>
              <w:right w:w="100" w:type="dxa"/>
            </w:tcMar>
            <w:shd w:fill="F8FAFC"/>
          </w:tcPr>
          <w:p>
            <w:r>
              <w:t>Apex Engineering Industries Limited</w:t>
            </w:r>
          </w:p>
        </w:tc>
      </w:tr>
      <w:tr>
        <w:tc>
          <w:tcPr>
            <w:tcW w:type="dxa" w:w="4874"/>
            <w:tcMar>
              <w:top w:w="60" w:type="dxa"/>
              <w:bottom w:w="60" w:type="dxa"/>
              <w:left w:w="100" w:type="dxa"/>
              <w:right w:w="100" w:type="dxa"/>
            </w:tcMar>
            <w:shd w:fill="F8FAFC"/>
          </w:tcPr>
          <w:p>
            <w:r>
              <w:rPr>
                <w:b/>
              </w:rPr>
              <w:t>Entity Constitution:</w:t>
            </w:r>
          </w:p>
        </w:tc>
        <w:tc>
          <w:tcPr>
            <w:tcW w:type="dxa" w:w="4874"/>
            <w:tcMar>
              <w:top w:w="60" w:type="dxa"/>
              <w:bottom w:w="60" w:type="dxa"/>
              <w:left w:w="100" w:type="dxa"/>
              <w:right w:w="100" w:type="dxa"/>
            </w:tcMar>
            <w:shd w:fill="F8FAFC"/>
          </w:tcPr>
          <w:p>
            <w:r>
              <w:t>Public Limited Company</w:t>
            </w:r>
          </w:p>
        </w:tc>
      </w:tr>
      <w:tr>
        <w:tc>
          <w:tcPr>
            <w:tcW w:type="dxa" w:w="4874"/>
            <w:tcMar>
              <w:top w:w="60" w:type="dxa"/>
              <w:bottom w:w="60" w:type="dxa"/>
              <w:left w:w="100" w:type="dxa"/>
              <w:right w:w="100" w:type="dxa"/>
            </w:tcMar>
            <w:shd w:fill="F8FAFC"/>
          </w:tcPr>
          <w:p>
            <w:r>
              <w:rPr>
                <w:b/>
              </w:rPr>
              <w:t>Reporting Period:</w:t>
            </w:r>
          </w:p>
        </w:tc>
        <w:tc>
          <w:tcPr>
            <w:tcW w:type="dxa" w:w="4874"/>
            <w:tcMar>
              <w:top w:w="60" w:type="dxa"/>
              <w:bottom w:w="60" w:type="dxa"/>
              <w:left w:w="100" w:type="dxa"/>
              <w:right w:w="100" w:type="dxa"/>
            </w:tcMar>
            <w:shd w:fill="F8FAFC"/>
          </w:tcPr>
          <w:p>
            <w:r>
              <w:t>FY 2024-25</w:t>
            </w:r>
          </w:p>
        </w:tc>
      </w:tr>
      <w:tr>
        <w:tc>
          <w:tcPr>
            <w:tcW w:type="dxa" w:w="4874"/>
            <w:tcMar>
              <w:top w:w="60" w:type="dxa"/>
              <w:bottom w:w="60" w:type="dxa"/>
              <w:left w:w="100" w:type="dxa"/>
              <w:right w:w="100" w:type="dxa"/>
            </w:tcMar>
            <w:shd w:fill="F8FAFC"/>
          </w:tcPr>
          <w:p>
            <w:r>
              <w:rPr>
                <w:b/>
              </w:rPr>
              <w:t>Previous Year Period:</w:t>
            </w:r>
          </w:p>
        </w:tc>
        <w:tc>
          <w:tcPr>
            <w:tcW w:type="dxa" w:w="4874"/>
            <w:tcMar>
              <w:top w:w="60" w:type="dxa"/>
              <w:bottom w:w="60" w:type="dxa"/>
              <w:left w:w="100" w:type="dxa"/>
              <w:right w:w="100" w:type="dxa"/>
            </w:tcMar>
            <w:shd w:fill="F8FAFC"/>
          </w:tcPr>
          <w:p>
            <w:r>
              <w:t>FY 2023-24</w:t>
            </w:r>
          </w:p>
        </w:tc>
      </w:tr>
      <w:tr>
        <w:tc>
          <w:tcPr>
            <w:tcW w:type="dxa" w:w="4874"/>
            <w:tcMar>
              <w:top w:w="60" w:type="dxa"/>
              <w:bottom w:w="60" w:type="dxa"/>
              <w:left w:w="100" w:type="dxa"/>
              <w:right w:w="100" w:type="dxa"/>
            </w:tcMar>
            <w:shd w:fill="F8FAFC"/>
          </w:tcPr>
          <w:p>
            <w:r>
              <w:rPr>
                <w:b/>
              </w:rPr>
              <w:t>Currency / Denomination:</w:t>
            </w:r>
          </w:p>
        </w:tc>
        <w:tc>
          <w:tcPr>
            <w:tcW w:type="dxa" w:w="4874"/>
            <w:tcMar>
              <w:top w:w="60" w:type="dxa"/>
              <w:bottom w:w="60" w:type="dxa"/>
              <w:left w:w="100" w:type="dxa"/>
              <w:right w:w="100" w:type="dxa"/>
            </w:tcMar>
            <w:shd w:fill="F8FAFC"/>
          </w:tcPr>
          <w:p>
            <w:r>
              <w:t>INR (in Lakhs)</w:t>
            </w:r>
          </w:p>
        </w:tc>
      </w:tr>
      <w:tr>
        <w:tc>
          <w:tcPr>
            <w:tcW w:type="dxa" w:w="4874"/>
            <w:tcMar>
              <w:top w:w="60" w:type="dxa"/>
              <w:bottom w:w="60" w:type="dxa"/>
              <w:left w:w="100" w:type="dxa"/>
              <w:right w:w="100" w:type="dxa"/>
            </w:tcMar>
            <w:shd w:fill="F8FAFC"/>
          </w:tcPr>
          <w:p>
            <w:r>
              <w:rPr>
                <w:b/>
              </w:rPr>
              <w:t>Accounting Framework:</w:t>
            </w:r>
          </w:p>
        </w:tc>
        <w:tc>
          <w:tcPr>
            <w:tcW w:type="dxa" w:w="4874"/>
            <w:tcMar>
              <w:top w:w="60" w:type="dxa"/>
              <w:bottom w:w="60" w:type="dxa"/>
              <w:left w:w="100" w:type="dxa"/>
              <w:right w:w="100" w:type="dxa"/>
            </w:tcMar>
            <w:shd w:fill="F8FAFC"/>
          </w:tcPr>
          <w:p>
            <w:r>
              <w:t>IGAAP</w:t>
            </w:r>
          </w:p>
        </w:tc>
      </w:tr>
      <w:tr>
        <w:tc>
          <w:tcPr>
            <w:tcW w:type="dxa" w:w="4874"/>
            <w:tcMar>
              <w:top w:w="60" w:type="dxa"/>
              <w:bottom w:w="60" w:type="dxa"/>
              <w:left w:w="100" w:type="dxa"/>
              <w:right w:w="100" w:type="dxa"/>
            </w:tcMar>
            <w:shd w:fill="F8FAFC"/>
          </w:tcPr>
          <w:p>
            <w:r>
              <w:rPr>
                <w:b/>
              </w:rPr>
              <w:t>Prepared By:</w:t>
            </w:r>
          </w:p>
        </w:tc>
        <w:tc>
          <w:tcPr>
            <w:tcW w:type="dxa" w:w="4874"/>
            <w:tcMar>
              <w:top w:w="60" w:type="dxa"/>
              <w:bottom w:w="60" w:type="dxa"/>
              <w:left w:w="100" w:type="dxa"/>
              <w:right w:w="100" w:type="dxa"/>
            </w:tcMar>
            <w:shd w:fill="F8FAFC"/>
          </w:tcPr>
          <w:p>
            <w:r>
              <w:t>CA Senior Auditor</w:t>
            </w:r>
          </w:p>
        </w:tc>
      </w:tr>
      <w:tr>
        <w:tc>
          <w:tcPr>
            <w:tcW w:type="dxa" w:w="4874"/>
            <w:tcMar>
              <w:top w:w="60" w:type="dxa"/>
              <w:bottom w:w="60" w:type="dxa"/>
              <w:left w:w="100" w:type="dxa"/>
              <w:right w:w="100" w:type="dxa"/>
            </w:tcMar>
            <w:shd w:fill="F8FAFC"/>
          </w:tcPr>
          <w:p>
            <w:r>
              <w:rPr>
                <w:b/>
              </w:rPr>
              <w:t>Reviewed By:</w:t>
            </w:r>
          </w:p>
        </w:tc>
        <w:tc>
          <w:tcPr>
            <w:tcW w:type="dxa" w:w="4874"/>
            <w:tcMar>
              <w:top w:w="60" w:type="dxa"/>
              <w:bottom w:w="60" w:type="dxa"/>
              <w:left w:w="100" w:type="dxa"/>
              <w:right w:w="100" w:type="dxa"/>
            </w:tcMar>
            <w:shd w:fill="F8FAFC"/>
          </w:tcPr>
          <w:p>
            <w:r>
              <w:t>CA Managing Partner</w:t>
            </w:r>
          </w:p>
        </w:tc>
      </w:tr>
      <w:tr>
        <w:tc>
          <w:tcPr>
            <w:tcW w:type="dxa" w:w="4874"/>
            <w:tcMar>
              <w:top w:w="60" w:type="dxa"/>
              <w:bottom w:w="60" w:type="dxa"/>
              <w:left w:w="100" w:type="dxa"/>
              <w:right w:w="100" w:type="dxa"/>
            </w:tcMar>
            <w:shd w:fill="F8FAFC"/>
          </w:tcPr>
          <w:p>
            <w:r>
              <w:rPr>
                <w:b/>
              </w:rPr>
              <w:t>Generation Timestamp:</w:t>
            </w:r>
          </w:p>
        </w:tc>
        <w:tc>
          <w:tcPr>
            <w:tcW w:type="dxa" w:w="4874"/>
            <w:tcMar>
              <w:top w:w="60" w:type="dxa"/>
              <w:bottom w:w="60" w:type="dxa"/>
              <w:left w:w="100" w:type="dxa"/>
              <w:right w:w="100" w:type="dxa"/>
            </w:tcMar>
            <w:shd w:fill="F8FAFC"/>
          </w:tcPr>
          <w:p>
            <w:r>
              <w:t>2026-08-17 18:53:26</w:t>
            </w:r>
          </w:p>
        </w:tc>
      </w:tr>
    </w:tbl>
    <w:p/>
    <w:p>
      <w:r>
        <w:rPr>
          <w:rFonts w:ascii="Segoe UI" w:hAnsi="Segoe UI"/>
          <w:color w:val="EA580C"/>
          <w:sz w:val="18"/>
        </w:rPr>
        <w:t>MANDATORY AUDIT DISCLAIMER: This is a system-generated draft for internal review. Professional review and verification by a Chartered Accountant is required before official signature and issuance.</w:t>
      </w:r>
    </w:p>
    <w:p>
      <w:r>
        <w:br w:type="page"/>
      </w:r>
    </w:p>
    <w:p>
      <w:pPr>
        <w:keepNext/>
        <w:spacing w:before="280" w:after="120"/>
      </w:pPr>
      <w:r>
        <w:rPr>
          <w:rFonts w:ascii="Segoe UI" w:hAnsi="Segoe UI"/>
          <w:b/>
          <w:color w:val="1B365D"/>
          <w:sz w:val="26"/>
        </w:rPr>
        <w:t>TABLE OF CONTENTS / INDEX</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Sec #</w:t>
            </w:r>
          </w:p>
        </w:tc>
        <w:tc>
          <w:tcPr>
            <w:tcW w:type="dxa" w:w="3250"/>
            <w:shd w:fill="1B365D"/>
            <w:tcMar>
              <w:top w:w="120" w:type="dxa"/>
              <w:bottom w:w="120" w:type="dxa"/>
              <w:left w:w="150" w:type="dxa"/>
              <w:right w:w="150" w:type="dxa"/>
            </w:tcMar>
          </w:tcPr>
          <w:p>
            <w:pPr>
              <w:jc w:val="center"/>
            </w:pPr>
            <w:r>
              <w:t>Report Section Name</w:t>
            </w:r>
          </w:p>
        </w:tc>
        <w:tc>
          <w:tcPr>
            <w:tcW w:type="dxa" w:w="3250"/>
            <w:shd w:fill="1B365D"/>
            <w:tcMar>
              <w:top w:w="120" w:type="dxa"/>
              <w:bottom w:w="120" w:type="dxa"/>
              <w:left w:w="150" w:type="dxa"/>
              <w:right w:w="150" w:type="dxa"/>
            </w:tcMar>
          </w:tcPr>
          <w:p>
            <w:pPr>
              <w:jc w:val="center"/>
            </w:pPr>
            <w:r>
              <w:t>Compliance Standard / Reference</w:t>
            </w:r>
          </w:p>
        </w:tc>
      </w:tr>
      <w:tr>
        <w:tc>
          <w:tcPr>
            <w:tcW w:type="dxa" w:w="3250"/>
            <w:tcMar>
              <w:top w:w="80" w:type="dxa"/>
              <w:bottom w:w="80" w:type="dxa"/>
              <w:left w:w="120" w:type="dxa"/>
              <w:right w:w="120" w:type="dxa"/>
            </w:tcMar>
          </w:tcPr>
          <w:p>
            <w:r>
              <w:rPr>
                <w:rFonts w:ascii="Segoe UI" w:hAnsi="Segoe UI"/>
                <w:sz w:val="18"/>
              </w:rPr>
              <w:t>01</w:t>
            </w:r>
          </w:p>
        </w:tc>
        <w:tc>
          <w:tcPr>
            <w:tcW w:type="dxa" w:w="3250"/>
            <w:tcMar>
              <w:top w:w="80" w:type="dxa"/>
              <w:bottom w:w="80" w:type="dxa"/>
              <w:left w:w="120" w:type="dxa"/>
              <w:right w:w="120" w:type="dxa"/>
            </w:tcMar>
          </w:tcPr>
          <w:p>
            <w:r>
              <w:rPr>
                <w:rFonts w:ascii="Segoe UI" w:hAnsi="Segoe UI"/>
                <w:sz w:val="18"/>
              </w:rPr>
              <w:t>Cover Sheet &amp; Audit Metadata</w:t>
            </w:r>
          </w:p>
        </w:tc>
        <w:tc>
          <w:tcPr>
            <w:tcW w:type="dxa" w:w="3250"/>
            <w:tcMar>
              <w:top w:w="80" w:type="dxa"/>
              <w:bottom w:w="80" w:type="dxa"/>
              <w:left w:w="120" w:type="dxa"/>
              <w:right w:w="120" w:type="dxa"/>
            </w:tcMar>
          </w:tcPr>
          <w:p>
            <w:r>
              <w:rPr>
                <w:rFonts w:ascii="Segoe UI" w:hAnsi="Segoe UI"/>
                <w:sz w:val="18"/>
              </w:rPr>
              <w:t>Firm Administrative Control</w:t>
            </w:r>
          </w:p>
        </w:tc>
      </w:tr>
      <w:tr>
        <w:tc>
          <w:tcPr>
            <w:tcW w:type="dxa" w:w="3250"/>
            <w:tcMar>
              <w:top w:w="80" w:type="dxa"/>
              <w:bottom w:w="80" w:type="dxa"/>
              <w:left w:w="120" w:type="dxa"/>
              <w:right w:w="120" w:type="dxa"/>
            </w:tcMar>
          </w:tcPr>
          <w:p>
            <w:r>
              <w:rPr>
                <w:rFonts w:ascii="Segoe UI" w:hAnsi="Segoe UI"/>
                <w:sz w:val="18"/>
              </w:rPr>
              <w:t>02</w:t>
            </w:r>
          </w:p>
        </w:tc>
        <w:tc>
          <w:tcPr>
            <w:tcW w:type="dxa" w:w="3250"/>
            <w:tcMar>
              <w:top w:w="80" w:type="dxa"/>
              <w:bottom w:w="80" w:type="dxa"/>
              <w:left w:w="120" w:type="dxa"/>
              <w:right w:w="120" w:type="dxa"/>
            </w:tcMar>
          </w:tcPr>
          <w:p>
            <w:r>
              <w:rPr>
                <w:rFonts w:ascii="Segoe UI" w:hAnsi="Segoe UI"/>
                <w:sz w:val="18"/>
              </w:rPr>
              <w:t>Index &amp; Section Sitemap</w:t>
            </w:r>
          </w:p>
        </w:tc>
        <w:tc>
          <w:tcPr>
            <w:tcW w:type="dxa" w:w="3250"/>
            <w:tcMar>
              <w:top w:w="80" w:type="dxa"/>
              <w:bottom w:w="80" w:type="dxa"/>
              <w:left w:w="120" w:type="dxa"/>
              <w:right w:w="120" w:type="dxa"/>
            </w:tcMar>
          </w:tcPr>
          <w:p>
            <w:r>
              <w:rPr>
                <w:rFonts w:ascii="Segoe UI" w:hAnsi="Segoe UI"/>
                <w:sz w:val="18"/>
              </w:rPr>
              <w:t>CA Audit Pack Index</w:t>
            </w:r>
          </w:p>
        </w:tc>
      </w:tr>
      <w:tr>
        <w:tc>
          <w:tcPr>
            <w:tcW w:type="dxa" w:w="3250"/>
            <w:tcMar>
              <w:top w:w="80" w:type="dxa"/>
              <w:bottom w:w="80" w:type="dxa"/>
              <w:left w:w="120" w:type="dxa"/>
              <w:right w:w="120" w:type="dxa"/>
            </w:tcMar>
          </w:tcPr>
          <w:p>
            <w:r>
              <w:rPr>
                <w:rFonts w:ascii="Segoe UI" w:hAnsi="Segoe UI"/>
                <w:sz w:val="18"/>
              </w:rPr>
              <w:t>03</w:t>
            </w:r>
          </w:p>
        </w:tc>
        <w:tc>
          <w:tcPr>
            <w:tcW w:type="dxa" w:w="3250"/>
            <w:tcMar>
              <w:top w:w="80" w:type="dxa"/>
              <w:bottom w:w="80" w:type="dxa"/>
              <w:left w:w="120" w:type="dxa"/>
              <w:right w:w="120" w:type="dxa"/>
            </w:tcMar>
          </w:tcPr>
          <w:p>
            <w:r>
              <w:rPr>
                <w:rFonts w:ascii="Segoe UI" w:hAnsi="Segoe UI"/>
                <w:sz w:val="18"/>
              </w:rPr>
              <w:t>Schedule III Balance Sheet</w:t>
            </w:r>
          </w:p>
        </w:tc>
        <w:tc>
          <w:tcPr>
            <w:tcW w:type="dxa" w:w="3250"/>
            <w:tcMar>
              <w:top w:w="80" w:type="dxa"/>
              <w:bottom w:w="80" w:type="dxa"/>
              <w:left w:w="120" w:type="dxa"/>
              <w:right w:w="120" w:type="dxa"/>
            </w:tcMar>
          </w:tcPr>
          <w:p>
            <w:r>
              <w:rPr>
                <w:rFonts w:ascii="Segoe UI" w:hAnsi="Segoe UI"/>
                <w:sz w:val="18"/>
              </w:rPr>
              <w:t>Companies Act 2013 Division I</w:t>
            </w:r>
          </w:p>
        </w:tc>
      </w:tr>
      <w:tr>
        <w:tc>
          <w:tcPr>
            <w:tcW w:type="dxa" w:w="3250"/>
            <w:tcMar>
              <w:top w:w="80" w:type="dxa"/>
              <w:bottom w:w="80" w:type="dxa"/>
              <w:left w:w="120" w:type="dxa"/>
              <w:right w:w="120" w:type="dxa"/>
            </w:tcMar>
          </w:tcPr>
          <w:p>
            <w:r>
              <w:rPr>
                <w:rFonts w:ascii="Segoe UI" w:hAnsi="Segoe UI"/>
                <w:sz w:val="18"/>
              </w:rPr>
              <w:t>04</w:t>
            </w:r>
          </w:p>
        </w:tc>
        <w:tc>
          <w:tcPr>
            <w:tcW w:type="dxa" w:w="3250"/>
            <w:tcMar>
              <w:top w:w="80" w:type="dxa"/>
              <w:bottom w:w="80" w:type="dxa"/>
              <w:left w:w="120" w:type="dxa"/>
              <w:right w:w="120" w:type="dxa"/>
            </w:tcMar>
          </w:tcPr>
          <w:p>
            <w:r>
              <w:rPr>
                <w:rFonts w:ascii="Segoe UI" w:hAnsi="Segoe UI"/>
                <w:sz w:val="18"/>
              </w:rPr>
              <w:t>Statement of Profit and Loss</w:t>
            </w:r>
          </w:p>
        </w:tc>
        <w:tc>
          <w:tcPr>
            <w:tcW w:type="dxa" w:w="3250"/>
            <w:tcMar>
              <w:top w:w="80" w:type="dxa"/>
              <w:bottom w:w="80" w:type="dxa"/>
              <w:left w:w="120" w:type="dxa"/>
              <w:right w:w="120" w:type="dxa"/>
            </w:tcMar>
          </w:tcPr>
          <w:p>
            <w:r>
              <w:rPr>
                <w:rFonts w:ascii="Segoe UI" w:hAnsi="Segoe UI"/>
                <w:sz w:val="18"/>
              </w:rPr>
              <w:t>Companies Act 2013 Division I</w:t>
            </w:r>
          </w:p>
        </w:tc>
      </w:tr>
      <w:tr>
        <w:tc>
          <w:tcPr>
            <w:tcW w:type="dxa" w:w="3250"/>
            <w:tcMar>
              <w:top w:w="80" w:type="dxa"/>
              <w:bottom w:w="80" w:type="dxa"/>
              <w:left w:w="120" w:type="dxa"/>
              <w:right w:w="120" w:type="dxa"/>
            </w:tcMar>
          </w:tcPr>
          <w:p>
            <w:r>
              <w:rPr>
                <w:rFonts w:ascii="Segoe UI" w:hAnsi="Segoe UI"/>
                <w:sz w:val="18"/>
              </w:rPr>
              <w:t>05</w:t>
            </w:r>
          </w:p>
        </w:tc>
        <w:tc>
          <w:tcPr>
            <w:tcW w:type="dxa" w:w="3250"/>
            <w:tcMar>
              <w:top w:w="80" w:type="dxa"/>
              <w:bottom w:w="80" w:type="dxa"/>
              <w:left w:w="120" w:type="dxa"/>
              <w:right w:w="120" w:type="dxa"/>
            </w:tcMar>
          </w:tcPr>
          <w:p>
            <w:r>
              <w:rPr>
                <w:rFonts w:ascii="Segoe UI" w:hAnsi="Segoe UI"/>
                <w:sz w:val="18"/>
              </w:rPr>
              <w:t>AS 3 Cash Flow Statement</w:t>
            </w:r>
          </w:p>
        </w:tc>
        <w:tc>
          <w:tcPr>
            <w:tcW w:type="dxa" w:w="3250"/>
            <w:tcMar>
              <w:top w:w="80" w:type="dxa"/>
              <w:bottom w:w="80" w:type="dxa"/>
              <w:left w:w="120" w:type="dxa"/>
              <w:right w:w="120" w:type="dxa"/>
            </w:tcMar>
          </w:tcPr>
          <w:p>
            <w:r>
              <w:rPr>
                <w:rFonts w:ascii="Segoe UI" w:hAnsi="Segoe UI"/>
                <w:sz w:val="18"/>
              </w:rPr>
              <w:t>AS 3 Cash Flow Statements</w:t>
            </w:r>
          </w:p>
        </w:tc>
      </w:tr>
      <w:tr>
        <w:tc>
          <w:tcPr>
            <w:tcW w:type="dxa" w:w="3250"/>
            <w:tcMar>
              <w:top w:w="80" w:type="dxa"/>
              <w:bottom w:w="80" w:type="dxa"/>
              <w:left w:w="120" w:type="dxa"/>
              <w:right w:w="120" w:type="dxa"/>
            </w:tcMar>
          </w:tcPr>
          <w:p>
            <w:r>
              <w:rPr>
                <w:rFonts w:ascii="Segoe UI" w:hAnsi="Segoe UI"/>
                <w:sz w:val="18"/>
              </w:rPr>
              <w:t>06</w:t>
            </w:r>
          </w:p>
        </w:tc>
        <w:tc>
          <w:tcPr>
            <w:tcW w:type="dxa" w:w="3250"/>
            <w:tcMar>
              <w:top w:w="80" w:type="dxa"/>
              <w:bottom w:w="80" w:type="dxa"/>
              <w:left w:w="120" w:type="dxa"/>
              <w:right w:w="120" w:type="dxa"/>
            </w:tcMar>
          </w:tcPr>
          <w:p>
            <w:r>
              <w:rPr>
                <w:rFonts w:ascii="Segoe UI" w:hAnsi="Segoe UI"/>
                <w:sz w:val="18"/>
              </w:rPr>
              <w:t>Significant Accounting Policies</w:t>
            </w:r>
          </w:p>
        </w:tc>
        <w:tc>
          <w:tcPr>
            <w:tcW w:type="dxa" w:w="3250"/>
            <w:tcMar>
              <w:top w:w="80" w:type="dxa"/>
              <w:bottom w:w="80" w:type="dxa"/>
              <w:left w:w="120" w:type="dxa"/>
              <w:right w:w="120" w:type="dxa"/>
            </w:tcMar>
          </w:tcPr>
          <w:p>
            <w:r>
              <w:rPr>
                <w:rFonts w:ascii="Segoe UI" w:hAnsi="Segoe UI"/>
                <w:sz w:val="18"/>
              </w:rPr>
              <w:t>AS 1 Disclosure of Accounting Policies</w:t>
            </w:r>
          </w:p>
        </w:tc>
      </w:tr>
      <w:tr>
        <w:tc>
          <w:tcPr>
            <w:tcW w:type="dxa" w:w="3250"/>
            <w:tcMar>
              <w:top w:w="80" w:type="dxa"/>
              <w:bottom w:w="80" w:type="dxa"/>
              <w:left w:w="120" w:type="dxa"/>
              <w:right w:w="120" w:type="dxa"/>
            </w:tcMar>
          </w:tcPr>
          <w:p>
            <w:r>
              <w:rPr>
                <w:rFonts w:ascii="Segoe UI" w:hAnsi="Segoe UI"/>
                <w:sz w:val="18"/>
              </w:rPr>
              <w:t>07</w:t>
            </w:r>
          </w:p>
        </w:tc>
        <w:tc>
          <w:tcPr>
            <w:tcW w:type="dxa" w:w="3250"/>
            <w:tcMar>
              <w:top w:w="80" w:type="dxa"/>
              <w:bottom w:w="80" w:type="dxa"/>
              <w:left w:w="120" w:type="dxa"/>
              <w:right w:w="120" w:type="dxa"/>
            </w:tcMar>
          </w:tcPr>
          <w:p>
            <w:r>
              <w:rPr>
                <w:rFonts w:ascii="Segoe UI" w:hAnsi="Segoe UI"/>
                <w:sz w:val="18"/>
              </w:rPr>
              <w:t>Notes to Accounts</w:t>
            </w:r>
          </w:p>
        </w:tc>
        <w:tc>
          <w:tcPr>
            <w:tcW w:type="dxa" w:w="3250"/>
            <w:tcMar>
              <w:top w:w="80" w:type="dxa"/>
              <w:bottom w:w="80" w:type="dxa"/>
              <w:left w:w="120" w:type="dxa"/>
              <w:right w:w="120" w:type="dxa"/>
            </w:tcMar>
          </w:tcPr>
          <w:p>
            <w:r>
              <w:rPr>
                <w:rFonts w:ascii="Segoe UI" w:hAnsi="Segoe UI"/>
                <w:sz w:val="18"/>
              </w:rPr>
              <w:t>Schedule III Notes &amp; Disclosures</w:t>
            </w:r>
          </w:p>
        </w:tc>
      </w:tr>
      <w:tr>
        <w:tc>
          <w:tcPr>
            <w:tcW w:type="dxa" w:w="3250"/>
            <w:tcMar>
              <w:top w:w="80" w:type="dxa"/>
              <w:bottom w:w="80" w:type="dxa"/>
              <w:left w:w="120" w:type="dxa"/>
              <w:right w:w="120" w:type="dxa"/>
            </w:tcMar>
          </w:tcPr>
          <w:p>
            <w:r>
              <w:rPr>
                <w:rFonts w:ascii="Segoe UI" w:hAnsi="Segoe UI"/>
                <w:sz w:val="18"/>
              </w:rPr>
              <w:t>08</w:t>
            </w:r>
          </w:p>
        </w:tc>
        <w:tc>
          <w:tcPr>
            <w:tcW w:type="dxa" w:w="3250"/>
            <w:tcMar>
              <w:top w:w="80" w:type="dxa"/>
              <w:bottom w:w="80" w:type="dxa"/>
              <w:left w:w="120" w:type="dxa"/>
              <w:right w:w="120" w:type="dxa"/>
            </w:tcMar>
          </w:tcPr>
          <w:p>
            <w:r>
              <w:rPr>
                <w:rFonts w:ascii="Segoe UI" w:hAnsi="Segoe UI"/>
                <w:sz w:val="18"/>
              </w:rPr>
              <w:t>Related Party Disclosures</w:t>
            </w:r>
          </w:p>
        </w:tc>
        <w:tc>
          <w:tcPr>
            <w:tcW w:type="dxa" w:w="3250"/>
            <w:tcMar>
              <w:top w:w="80" w:type="dxa"/>
              <w:bottom w:w="80" w:type="dxa"/>
              <w:left w:w="120" w:type="dxa"/>
              <w:right w:w="120" w:type="dxa"/>
            </w:tcMar>
          </w:tcPr>
          <w:p>
            <w:r>
              <w:rPr>
                <w:rFonts w:ascii="Segoe UI" w:hAnsi="Segoe UI"/>
                <w:sz w:val="18"/>
              </w:rPr>
              <w:t>AS 18 Related Party Disclosures</w:t>
            </w:r>
          </w:p>
        </w:tc>
      </w:tr>
      <w:tr>
        <w:tc>
          <w:tcPr>
            <w:tcW w:type="dxa" w:w="3250"/>
            <w:tcMar>
              <w:top w:w="80" w:type="dxa"/>
              <w:bottom w:w="80" w:type="dxa"/>
              <w:left w:w="120" w:type="dxa"/>
              <w:right w:w="120" w:type="dxa"/>
            </w:tcMar>
          </w:tcPr>
          <w:p>
            <w:r>
              <w:rPr>
                <w:rFonts w:ascii="Segoe UI" w:hAnsi="Segoe UI"/>
                <w:sz w:val="18"/>
              </w:rPr>
              <w:t>09</w:t>
            </w:r>
          </w:p>
        </w:tc>
        <w:tc>
          <w:tcPr>
            <w:tcW w:type="dxa" w:w="3250"/>
            <w:tcMar>
              <w:top w:w="80" w:type="dxa"/>
              <w:bottom w:w="80" w:type="dxa"/>
              <w:left w:w="120" w:type="dxa"/>
              <w:right w:w="120" w:type="dxa"/>
            </w:tcMar>
          </w:tcPr>
          <w:p>
            <w:r>
              <w:rPr>
                <w:rFonts w:ascii="Segoe UI" w:hAnsi="Segoe UI"/>
                <w:sz w:val="18"/>
              </w:rPr>
              <w:t>Contingent Liabilities &amp; Commitments</w:t>
            </w:r>
          </w:p>
        </w:tc>
        <w:tc>
          <w:tcPr>
            <w:tcW w:type="dxa" w:w="3250"/>
            <w:tcMar>
              <w:top w:w="80" w:type="dxa"/>
              <w:bottom w:w="80" w:type="dxa"/>
              <w:left w:w="120" w:type="dxa"/>
              <w:right w:w="120" w:type="dxa"/>
            </w:tcMar>
          </w:tcPr>
          <w:p>
            <w:r>
              <w:rPr>
                <w:rFonts w:ascii="Segoe UI" w:hAnsi="Segoe UI"/>
                <w:sz w:val="18"/>
              </w:rPr>
              <w:t>AS 29 Provisions &amp; Contingencies</w:t>
            </w:r>
          </w:p>
        </w:tc>
      </w:tr>
      <w:tr>
        <w:tc>
          <w:tcPr>
            <w:tcW w:type="dxa" w:w="3250"/>
            <w:tcMar>
              <w:top w:w="80" w:type="dxa"/>
              <w:bottom w:w="80" w:type="dxa"/>
              <w:left w:w="120" w:type="dxa"/>
              <w:right w:w="120" w:type="dxa"/>
            </w:tcMar>
          </w:tcPr>
          <w:p>
            <w:r>
              <w:rPr>
                <w:rFonts w:ascii="Segoe UI" w:hAnsi="Segoe UI"/>
                <w:sz w:val="18"/>
              </w:rPr>
              <w:t>10</w:t>
            </w:r>
          </w:p>
        </w:tc>
        <w:tc>
          <w:tcPr>
            <w:tcW w:type="dxa" w:w="3250"/>
            <w:tcMar>
              <w:top w:w="80" w:type="dxa"/>
              <w:bottom w:w="80" w:type="dxa"/>
              <w:left w:w="120" w:type="dxa"/>
              <w:right w:w="120" w:type="dxa"/>
            </w:tcMar>
          </w:tcPr>
          <w:p>
            <w:r>
              <w:rPr>
                <w:rFonts w:ascii="Segoe UI" w:hAnsi="Segoe UI"/>
                <w:sz w:val="18"/>
              </w:rPr>
              <w:t>Schedule III Financial Ratios</w:t>
            </w:r>
          </w:p>
        </w:tc>
        <w:tc>
          <w:tcPr>
            <w:tcW w:type="dxa" w:w="3250"/>
            <w:tcMar>
              <w:top w:w="80" w:type="dxa"/>
              <w:bottom w:w="80" w:type="dxa"/>
              <w:left w:w="120" w:type="dxa"/>
              <w:right w:w="120" w:type="dxa"/>
            </w:tcMar>
          </w:tcPr>
          <w:p>
            <w:r>
              <w:rPr>
                <w:rFonts w:ascii="Segoe UI" w:hAnsi="Segoe UI"/>
                <w:sz w:val="18"/>
              </w:rPr>
              <w:t>MCA 2021 Ratio Disclosures</w:t>
            </w:r>
          </w:p>
        </w:tc>
      </w:tr>
      <w:tr>
        <w:tc>
          <w:tcPr>
            <w:tcW w:type="dxa" w:w="3250"/>
            <w:tcMar>
              <w:top w:w="80" w:type="dxa"/>
              <w:bottom w:w="80" w:type="dxa"/>
              <w:left w:w="120" w:type="dxa"/>
              <w:right w:w="120" w:type="dxa"/>
            </w:tcMar>
          </w:tcPr>
          <w:p>
            <w:r>
              <w:rPr>
                <w:rFonts w:ascii="Segoe UI" w:hAnsi="Segoe UI"/>
                <w:sz w:val="18"/>
              </w:rPr>
              <w:t>11</w:t>
            </w:r>
          </w:p>
        </w:tc>
        <w:tc>
          <w:tcPr>
            <w:tcW w:type="dxa" w:w="3250"/>
            <w:tcMar>
              <w:top w:w="80" w:type="dxa"/>
              <w:bottom w:w="80" w:type="dxa"/>
              <w:left w:w="120" w:type="dxa"/>
              <w:right w:w="120" w:type="dxa"/>
            </w:tcMar>
          </w:tcPr>
          <w:p>
            <w:r>
              <w:rPr>
                <w:rFonts w:ascii="Segoe UI" w:hAnsi="Segoe UI"/>
                <w:sz w:val="18"/>
              </w:rPr>
              <w:t>Management Queries &amp; Audit Notes</w:t>
            </w:r>
          </w:p>
        </w:tc>
        <w:tc>
          <w:tcPr>
            <w:tcW w:type="dxa" w:w="3250"/>
            <w:tcMar>
              <w:top w:w="80" w:type="dxa"/>
              <w:bottom w:w="80" w:type="dxa"/>
              <w:left w:w="120" w:type="dxa"/>
              <w:right w:w="120" w:type="dxa"/>
            </w:tcMar>
          </w:tcPr>
          <w:p>
            <w:r>
              <w:rPr>
                <w:rFonts w:ascii="Segoe UI" w:hAnsi="Segoe UI"/>
                <w:sz w:val="18"/>
              </w:rPr>
              <w:t>CA Audit Review Workflow</w:t>
            </w:r>
          </w:p>
        </w:tc>
      </w:tr>
      <w:tr>
        <w:tc>
          <w:tcPr>
            <w:tcW w:type="dxa" w:w="3250"/>
            <w:tcMar>
              <w:top w:w="80" w:type="dxa"/>
              <w:bottom w:w="80" w:type="dxa"/>
              <w:left w:w="120" w:type="dxa"/>
              <w:right w:w="120" w:type="dxa"/>
            </w:tcMar>
          </w:tcPr>
          <w:p>
            <w:r>
              <w:rPr>
                <w:rFonts w:ascii="Segoe UI" w:hAnsi="Segoe UI"/>
                <w:sz w:val="18"/>
              </w:rPr>
              <w:t>12</w:t>
            </w:r>
          </w:p>
        </w:tc>
        <w:tc>
          <w:tcPr>
            <w:tcW w:type="dxa" w:w="3250"/>
            <w:tcMar>
              <w:top w:w="80" w:type="dxa"/>
              <w:bottom w:w="80" w:type="dxa"/>
              <w:left w:w="120" w:type="dxa"/>
              <w:right w:w="120" w:type="dxa"/>
            </w:tcMar>
          </w:tcPr>
          <w:p>
            <w:r>
              <w:rPr>
                <w:rFonts w:ascii="Segoe UI" w:hAnsi="Segoe UI"/>
                <w:sz w:val="18"/>
              </w:rPr>
              <w:t>Validation Exceptions Log</w:t>
            </w:r>
          </w:p>
        </w:tc>
        <w:tc>
          <w:tcPr>
            <w:tcW w:type="dxa" w:w="3250"/>
            <w:tcMar>
              <w:top w:w="80" w:type="dxa"/>
              <w:bottom w:w="80" w:type="dxa"/>
              <w:left w:w="120" w:type="dxa"/>
              <w:right w:w="120" w:type="dxa"/>
            </w:tcMar>
          </w:tcPr>
          <w:p>
            <w:r>
              <w:rPr>
                <w:rFonts w:ascii="Segoe UI" w:hAnsi="Segoe UI"/>
                <w:sz w:val="18"/>
              </w:rPr>
              <w:t>Automated Audit Sanity Check</w:t>
            </w:r>
          </w:p>
        </w:tc>
      </w:tr>
      <w:tr>
        <w:tc>
          <w:tcPr>
            <w:tcW w:type="dxa" w:w="3250"/>
            <w:tcMar>
              <w:top w:w="80" w:type="dxa"/>
              <w:bottom w:w="80" w:type="dxa"/>
              <w:left w:w="120" w:type="dxa"/>
              <w:right w:w="120" w:type="dxa"/>
            </w:tcMar>
          </w:tcPr>
          <w:p>
            <w:r>
              <w:rPr>
                <w:rFonts w:ascii="Segoe UI" w:hAnsi="Segoe UI"/>
                <w:sz w:val="18"/>
              </w:rPr>
              <w:t>13</w:t>
            </w:r>
          </w:p>
        </w:tc>
        <w:tc>
          <w:tcPr>
            <w:tcW w:type="dxa" w:w="3250"/>
            <w:tcMar>
              <w:top w:w="80" w:type="dxa"/>
              <w:bottom w:w="80" w:type="dxa"/>
              <w:left w:w="120" w:type="dxa"/>
              <w:right w:w="120" w:type="dxa"/>
            </w:tcMar>
          </w:tcPr>
          <w:p>
            <w:r>
              <w:rPr>
                <w:rFonts w:ascii="Segoe UI" w:hAnsi="Segoe UI"/>
                <w:sz w:val="18"/>
              </w:rPr>
              <w:t>Disclaimer &amp; Sign-off Block</w:t>
            </w:r>
          </w:p>
        </w:tc>
        <w:tc>
          <w:tcPr>
            <w:tcW w:type="dxa" w:w="3250"/>
            <w:tcMar>
              <w:top w:w="80" w:type="dxa"/>
              <w:bottom w:w="80" w:type="dxa"/>
              <w:left w:w="120" w:type="dxa"/>
              <w:right w:w="120" w:type="dxa"/>
            </w:tcMar>
          </w:tcPr>
          <w:p>
            <w:r>
              <w:rPr>
                <w:rFonts w:ascii="Segoe UI" w:hAnsi="Segoe UI"/>
                <w:sz w:val="18"/>
              </w:rPr>
              <w:t>ICAI Professional Standards</w:t>
            </w:r>
          </w:p>
        </w:tc>
      </w:tr>
    </w:tbl>
    <w:p>
      <w:r>
        <w:br w:type="page"/>
      </w:r>
    </w:p>
    <w:p>
      <w:pPr>
        <w:keepNext/>
        <w:spacing w:before="280" w:after="120"/>
      </w:pPr>
      <w:r>
        <w:rPr>
          <w:rFonts w:ascii="Segoe UI" w:hAnsi="Segoe UI"/>
          <w:b/>
          <w:color w:val="1B365D"/>
          <w:sz w:val="26"/>
        </w:rPr>
        <w:t>SCHEDULE III BALANCE SHEET AS AT MARCH 31, 2025</w:t>
      </w:r>
    </w:p>
    <w:tbl>
      <w:tblPr>
        <w:tblW w:type="auto" w:w="0"/>
        <w:jc w:val="center"/>
        <w:tblLook w:firstColumn="1" w:firstRow="1" w:lastColumn="0" w:lastRow="0" w:noHBand="0" w:noVBand="1" w:val="04A0"/>
      </w:tblPr>
      <w:tblGrid>
        <w:gridCol w:w="2437"/>
        <w:gridCol w:w="2437"/>
        <w:gridCol w:w="2437"/>
        <w:gridCol w:w="2437"/>
      </w:tblGrid>
      <w:tr>
        <w:tc>
          <w:tcPr>
            <w:tcW w:type="dxa" w:w="2437"/>
            <w:shd w:fill="1B365D"/>
            <w:tcMar>
              <w:top w:w="120" w:type="dxa"/>
              <w:bottom w:w="120" w:type="dxa"/>
              <w:left w:w="150" w:type="dxa"/>
              <w:right w:w="150" w:type="dxa"/>
            </w:tcMar>
          </w:tcPr>
          <w:p>
            <w:pPr>
              <w:jc w:val="center"/>
            </w:pPr>
            <w:r>
              <w:t>Particulars</w:t>
            </w:r>
          </w:p>
        </w:tc>
        <w:tc>
          <w:tcPr>
            <w:tcW w:type="dxa" w:w="2437"/>
            <w:shd w:fill="1B365D"/>
            <w:tcMar>
              <w:top w:w="120" w:type="dxa"/>
              <w:bottom w:w="120" w:type="dxa"/>
              <w:left w:w="150" w:type="dxa"/>
              <w:right w:w="150" w:type="dxa"/>
            </w:tcMar>
          </w:tcPr>
          <w:p>
            <w:pPr>
              <w:jc w:val="center"/>
            </w:pPr>
            <w:r>
              <w:t>Note #</w:t>
            </w:r>
          </w:p>
        </w:tc>
        <w:tc>
          <w:tcPr>
            <w:tcW w:type="dxa" w:w="2437"/>
            <w:shd w:fill="1B365D"/>
            <w:tcMar>
              <w:top w:w="120" w:type="dxa"/>
              <w:bottom w:w="120" w:type="dxa"/>
              <w:left w:w="150" w:type="dxa"/>
              <w:right w:w="150" w:type="dxa"/>
            </w:tcMar>
          </w:tcPr>
          <w:p>
            <w:pPr>
              <w:jc w:val="center"/>
            </w:pPr>
            <w:r>
              <w:t>As at 31-Mar-2025 (CY)</w:t>
            </w:r>
          </w:p>
        </w:tc>
        <w:tc>
          <w:tcPr>
            <w:tcW w:type="dxa" w:w="2437"/>
            <w:shd w:fill="1B365D"/>
            <w:tcMar>
              <w:top w:w="120" w:type="dxa"/>
              <w:bottom w:w="120" w:type="dxa"/>
              <w:left w:w="150" w:type="dxa"/>
              <w:right w:w="150" w:type="dxa"/>
            </w:tcMar>
          </w:tcPr>
          <w:p>
            <w:pPr>
              <w:jc w:val="center"/>
            </w:pPr>
            <w:r>
              <w:t>As at 31-Mar-2024 (PY)</w:t>
            </w:r>
          </w:p>
        </w:tc>
      </w:tr>
      <w:tr>
        <w:tc>
          <w:tcPr>
            <w:tcW w:type="dxa" w:w="2437"/>
            <w:tcMar>
              <w:top w:w="80" w:type="dxa"/>
              <w:bottom w:w="80" w:type="dxa"/>
              <w:left w:w="120" w:type="dxa"/>
              <w:right w:w="120" w:type="dxa"/>
            </w:tcMar>
          </w:tcPr>
          <w:p>
            <w:r>
              <w:rPr>
                <w:rFonts w:ascii="Segoe UI" w:hAnsi="Segoe UI"/>
                <w:sz w:val="18"/>
              </w:rPr>
              <w:t>EQUITY AND LIABILITIES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1. Shareholders' Funds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670.00</w:t>
            </w:r>
          </w:p>
        </w:tc>
        <w:tc>
          <w:tcPr>
            <w:tcW w:type="dxa" w:w="2437"/>
            <w:tcMar>
              <w:top w:w="80" w:type="dxa"/>
              <w:bottom w:w="80" w:type="dxa"/>
              <w:left w:w="120" w:type="dxa"/>
              <w:right w:w="120" w:type="dxa"/>
            </w:tcMar>
            <w:shd w:fill="F1F5F9"/>
          </w:tcPr>
          <w:p>
            <w:pPr>
              <w:jc w:val="right"/>
            </w:pPr>
            <w:r>
              <w:rPr>
                <w:rFonts w:ascii="Segoe UI" w:hAnsi="Segoe UI"/>
                <w:sz w:val="18"/>
              </w:rPr>
              <w:t>505.00</w:t>
            </w:r>
          </w:p>
        </w:tc>
      </w:tr>
      <w:tr>
        <w:tc>
          <w:tcPr>
            <w:tcW w:type="dxa" w:w="2437"/>
            <w:tcMar>
              <w:top w:w="80" w:type="dxa"/>
              <w:bottom w:w="80" w:type="dxa"/>
              <w:left w:w="120" w:type="dxa"/>
              <w:right w:w="120" w:type="dxa"/>
            </w:tcMar>
          </w:tcPr>
          <w:p>
            <w:r>
              <w:rPr>
                <w:rFonts w:ascii="Segoe UI" w:hAnsi="Segoe UI"/>
                <w:sz w:val="18"/>
              </w:rPr>
              <w:t xml:space="preserve">   (a) Share Capital</w:t>
            </w:r>
          </w:p>
        </w:tc>
        <w:tc>
          <w:tcPr>
            <w:tcW w:type="dxa" w:w="2437"/>
            <w:tcMar>
              <w:top w:w="80" w:type="dxa"/>
              <w:bottom w:w="80" w:type="dxa"/>
              <w:left w:w="120" w:type="dxa"/>
              <w:right w:w="120" w:type="dxa"/>
            </w:tcMar>
          </w:tcPr>
          <w:p>
            <w:r>
              <w:rPr>
                <w:rFonts w:ascii="Segoe UI" w:hAnsi="Segoe UI"/>
                <w:sz w:val="18"/>
              </w:rPr>
              <w:t>1.1</w:t>
            </w:r>
          </w:p>
        </w:tc>
        <w:tc>
          <w:tcPr>
            <w:tcW w:type="dxa" w:w="2437"/>
            <w:tcMar>
              <w:top w:w="80" w:type="dxa"/>
              <w:bottom w:w="80" w:type="dxa"/>
              <w:left w:w="120" w:type="dxa"/>
              <w:right w:w="120" w:type="dxa"/>
            </w:tcMar>
            <w:shd w:fill="F1F5F9"/>
          </w:tcPr>
          <w:p>
            <w:pPr>
              <w:jc w:val="right"/>
            </w:pPr>
            <w:r>
              <w:rPr>
                <w:rFonts w:ascii="Segoe UI" w:hAnsi="Segoe UI"/>
                <w:sz w:val="18"/>
              </w:rPr>
              <w:t>100.00</w:t>
            </w:r>
          </w:p>
        </w:tc>
        <w:tc>
          <w:tcPr>
            <w:tcW w:type="dxa" w:w="2437"/>
            <w:tcMar>
              <w:top w:w="80" w:type="dxa"/>
              <w:bottom w:w="80" w:type="dxa"/>
              <w:left w:w="120" w:type="dxa"/>
              <w:right w:w="120" w:type="dxa"/>
            </w:tcMar>
            <w:shd w:fill="F1F5F9"/>
          </w:tcPr>
          <w:p>
            <w:pPr>
              <w:jc w:val="right"/>
            </w:pPr>
            <w:r>
              <w:rPr>
                <w:rFonts w:ascii="Segoe UI" w:hAnsi="Segoe UI"/>
                <w:sz w:val="18"/>
              </w:rPr>
              <w:t>100.00</w:t>
            </w:r>
          </w:p>
        </w:tc>
      </w:tr>
      <w:tr>
        <w:tc>
          <w:tcPr>
            <w:tcW w:type="dxa" w:w="2437"/>
            <w:tcMar>
              <w:top w:w="80" w:type="dxa"/>
              <w:bottom w:w="80" w:type="dxa"/>
              <w:left w:w="120" w:type="dxa"/>
              <w:right w:w="120" w:type="dxa"/>
            </w:tcMar>
          </w:tcPr>
          <w:p>
            <w:r>
              <w:rPr>
                <w:rFonts w:ascii="Segoe UI" w:hAnsi="Segoe UI"/>
                <w:sz w:val="18"/>
              </w:rPr>
              <w:t xml:space="preserve">   (b) Reserves and Surplus</w:t>
            </w:r>
          </w:p>
        </w:tc>
        <w:tc>
          <w:tcPr>
            <w:tcW w:type="dxa" w:w="2437"/>
            <w:tcMar>
              <w:top w:w="80" w:type="dxa"/>
              <w:bottom w:w="80" w:type="dxa"/>
              <w:left w:w="120" w:type="dxa"/>
              <w:right w:w="120" w:type="dxa"/>
            </w:tcMar>
          </w:tcPr>
          <w:p>
            <w:r>
              <w:rPr>
                <w:rFonts w:ascii="Segoe UI" w:hAnsi="Segoe UI"/>
                <w:sz w:val="18"/>
              </w:rPr>
              <w:t>1.2</w:t>
            </w:r>
          </w:p>
        </w:tc>
        <w:tc>
          <w:tcPr>
            <w:tcW w:type="dxa" w:w="2437"/>
            <w:tcMar>
              <w:top w:w="80" w:type="dxa"/>
              <w:bottom w:w="80" w:type="dxa"/>
              <w:left w:w="120" w:type="dxa"/>
              <w:right w:w="120" w:type="dxa"/>
            </w:tcMar>
            <w:shd w:fill="F1F5F9"/>
          </w:tcPr>
          <w:p>
            <w:pPr>
              <w:jc w:val="right"/>
            </w:pPr>
            <w:r>
              <w:rPr>
                <w:rFonts w:ascii="Segoe UI" w:hAnsi="Segoe UI"/>
                <w:sz w:val="18"/>
              </w:rPr>
              <w:t>570.00</w:t>
            </w:r>
          </w:p>
        </w:tc>
        <w:tc>
          <w:tcPr>
            <w:tcW w:type="dxa" w:w="2437"/>
            <w:tcMar>
              <w:top w:w="80" w:type="dxa"/>
              <w:bottom w:w="80" w:type="dxa"/>
              <w:left w:w="120" w:type="dxa"/>
              <w:right w:w="120" w:type="dxa"/>
            </w:tcMar>
            <w:shd w:fill="F1F5F9"/>
          </w:tcPr>
          <w:p>
            <w:pPr>
              <w:jc w:val="right"/>
            </w:pPr>
            <w:r>
              <w:rPr>
                <w:rFonts w:ascii="Segoe UI" w:hAnsi="Segoe UI"/>
                <w:sz w:val="18"/>
              </w:rPr>
              <w:t>405.00</w:t>
            </w:r>
          </w:p>
        </w:tc>
      </w:tr>
      <w:tr>
        <w:tc>
          <w:tcPr>
            <w:tcW w:type="dxa" w:w="2437"/>
            <w:tcMar>
              <w:top w:w="80" w:type="dxa"/>
              <w:bottom w:w="80" w:type="dxa"/>
              <w:left w:w="120" w:type="dxa"/>
              <w:right w:w="120" w:type="dxa"/>
            </w:tcMar>
          </w:tcPr>
          <w:p>
            <w:r>
              <w:rPr>
                <w:rFonts w:ascii="Segoe UI" w:hAnsi="Segoe UI"/>
                <w:sz w:val="18"/>
              </w:rPr>
              <w:t>2. Non-Current Liabilities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250.00</w:t>
            </w:r>
          </w:p>
        </w:tc>
        <w:tc>
          <w:tcPr>
            <w:tcW w:type="dxa" w:w="2437"/>
            <w:tcMar>
              <w:top w:w="80" w:type="dxa"/>
              <w:bottom w:w="80" w:type="dxa"/>
              <w:left w:w="120" w:type="dxa"/>
              <w:right w:w="120" w:type="dxa"/>
            </w:tcMar>
            <w:shd w:fill="F1F5F9"/>
          </w:tcPr>
          <w:p>
            <w:pPr>
              <w:jc w:val="right"/>
            </w:pPr>
            <w:r>
              <w:rPr>
                <w:rFonts w:ascii="Segoe UI" w:hAnsi="Segoe UI"/>
                <w:sz w:val="18"/>
              </w:rPr>
              <w:t>300.00</w:t>
            </w:r>
          </w:p>
        </w:tc>
      </w:tr>
      <w:tr>
        <w:tc>
          <w:tcPr>
            <w:tcW w:type="dxa" w:w="2437"/>
            <w:tcMar>
              <w:top w:w="80" w:type="dxa"/>
              <w:bottom w:w="80" w:type="dxa"/>
              <w:left w:w="120" w:type="dxa"/>
              <w:right w:w="120" w:type="dxa"/>
            </w:tcMar>
          </w:tcPr>
          <w:p>
            <w:r>
              <w:rPr>
                <w:rFonts w:ascii="Segoe UI" w:hAnsi="Segoe UI"/>
                <w:sz w:val="18"/>
              </w:rPr>
              <w:t xml:space="preserve">   (a) Long-term Borrowings</w:t>
            </w:r>
          </w:p>
        </w:tc>
        <w:tc>
          <w:tcPr>
            <w:tcW w:type="dxa" w:w="2437"/>
            <w:tcMar>
              <w:top w:w="80" w:type="dxa"/>
              <w:bottom w:w="80" w:type="dxa"/>
              <w:left w:w="120" w:type="dxa"/>
              <w:right w:w="120" w:type="dxa"/>
            </w:tcMar>
          </w:tcPr>
          <w:p>
            <w:r>
              <w:rPr>
                <w:rFonts w:ascii="Segoe UI" w:hAnsi="Segoe UI"/>
                <w:sz w:val="18"/>
              </w:rPr>
              <w:t>2.1</w:t>
            </w:r>
          </w:p>
        </w:tc>
        <w:tc>
          <w:tcPr>
            <w:tcW w:type="dxa" w:w="2437"/>
            <w:tcMar>
              <w:top w:w="80" w:type="dxa"/>
              <w:bottom w:w="80" w:type="dxa"/>
              <w:left w:w="120" w:type="dxa"/>
              <w:right w:w="120" w:type="dxa"/>
            </w:tcMar>
            <w:shd w:fill="F1F5F9"/>
          </w:tcPr>
          <w:p>
            <w:pPr>
              <w:jc w:val="right"/>
            </w:pPr>
            <w:r>
              <w:rPr>
                <w:rFonts w:ascii="Segoe UI" w:hAnsi="Segoe UI"/>
                <w:sz w:val="18"/>
              </w:rPr>
              <w:t>250.00</w:t>
            </w:r>
          </w:p>
        </w:tc>
        <w:tc>
          <w:tcPr>
            <w:tcW w:type="dxa" w:w="2437"/>
            <w:tcMar>
              <w:top w:w="80" w:type="dxa"/>
              <w:bottom w:w="80" w:type="dxa"/>
              <w:left w:w="120" w:type="dxa"/>
              <w:right w:w="120" w:type="dxa"/>
            </w:tcMar>
            <w:shd w:fill="F1F5F9"/>
          </w:tcPr>
          <w:p>
            <w:pPr>
              <w:jc w:val="right"/>
            </w:pPr>
            <w:r>
              <w:rPr>
                <w:rFonts w:ascii="Segoe UI" w:hAnsi="Segoe UI"/>
                <w:sz w:val="18"/>
              </w:rPr>
              <w:t>300.00</w:t>
            </w:r>
          </w:p>
        </w:tc>
      </w:tr>
      <w:tr>
        <w:tc>
          <w:tcPr>
            <w:tcW w:type="dxa" w:w="2437"/>
            <w:tcMar>
              <w:top w:w="80" w:type="dxa"/>
              <w:bottom w:w="80" w:type="dxa"/>
              <w:left w:w="120" w:type="dxa"/>
              <w:right w:w="120" w:type="dxa"/>
            </w:tcMar>
          </w:tcPr>
          <w:p>
            <w:r>
              <w:rPr>
                <w:rFonts w:ascii="Segoe UI" w:hAnsi="Segoe UI"/>
                <w:sz w:val="18"/>
              </w:rPr>
              <w:t xml:space="preserve">   (b) Long-term Provisions</w:t>
            </w:r>
          </w:p>
        </w:tc>
        <w:tc>
          <w:tcPr>
            <w:tcW w:type="dxa" w:w="2437"/>
            <w:tcMar>
              <w:top w:w="80" w:type="dxa"/>
              <w:bottom w:w="80" w:type="dxa"/>
              <w:left w:w="120" w:type="dxa"/>
              <w:right w:w="120" w:type="dxa"/>
            </w:tcMar>
          </w:tcPr>
          <w:p>
            <w:r>
              <w:rPr>
                <w:rFonts w:ascii="Segoe UI" w:hAnsi="Segoe UI"/>
                <w:sz w:val="18"/>
              </w:rPr>
              <w:t>2.2</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3. Current Liabilities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290.00</w:t>
            </w:r>
          </w:p>
        </w:tc>
        <w:tc>
          <w:tcPr>
            <w:tcW w:type="dxa" w:w="2437"/>
            <w:tcMar>
              <w:top w:w="80" w:type="dxa"/>
              <w:bottom w:w="80" w:type="dxa"/>
              <w:left w:w="120" w:type="dxa"/>
              <w:right w:w="120" w:type="dxa"/>
            </w:tcMar>
            <w:shd w:fill="F1F5F9"/>
          </w:tcPr>
          <w:p>
            <w:pPr>
              <w:jc w:val="right"/>
            </w:pPr>
            <w:r>
              <w:rPr>
                <w:rFonts w:ascii="Segoe UI" w:hAnsi="Segoe UI"/>
                <w:sz w:val="18"/>
              </w:rPr>
              <w:t>225.00</w:t>
            </w:r>
          </w:p>
        </w:tc>
      </w:tr>
      <w:tr>
        <w:tc>
          <w:tcPr>
            <w:tcW w:type="dxa" w:w="2437"/>
            <w:tcMar>
              <w:top w:w="80" w:type="dxa"/>
              <w:bottom w:w="80" w:type="dxa"/>
              <w:left w:w="120" w:type="dxa"/>
              <w:right w:w="120" w:type="dxa"/>
            </w:tcMar>
          </w:tcPr>
          <w:p>
            <w:r>
              <w:rPr>
                <w:rFonts w:ascii="Segoe UI" w:hAnsi="Segoe UI"/>
                <w:sz w:val="18"/>
              </w:rPr>
              <w:t xml:space="preserve">   (a) Short-term Borrowings</w:t>
            </w:r>
          </w:p>
        </w:tc>
        <w:tc>
          <w:tcPr>
            <w:tcW w:type="dxa" w:w="2437"/>
            <w:tcMar>
              <w:top w:w="80" w:type="dxa"/>
              <w:bottom w:w="80" w:type="dxa"/>
              <w:left w:w="120" w:type="dxa"/>
              <w:right w:w="120" w:type="dxa"/>
            </w:tcMar>
          </w:tcPr>
          <w:p>
            <w:r>
              <w:rPr>
                <w:rFonts w:ascii="Segoe UI" w:hAnsi="Segoe UI"/>
                <w:sz w:val="18"/>
              </w:rPr>
              <w:t>3.1</w:t>
            </w:r>
          </w:p>
        </w:tc>
        <w:tc>
          <w:tcPr>
            <w:tcW w:type="dxa" w:w="2437"/>
            <w:tcMar>
              <w:top w:w="80" w:type="dxa"/>
              <w:bottom w:w="80" w:type="dxa"/>
              <w:left w:w="120" w:type="dxa"/>
              <w:right w:w="120" w:type="dxa"/>
            </w:tcMar>
            <w:shd w:fill="F1F5F9"/>
          </w:tcPr>
          <w:p>
            <w:pPr>
              <w:jc w:val="right"/>
            </w:pPr>
            <w:r>
              <w:rPr>
                <w:rFonts w:ascii="Segoe UI" w:hAnsi="Segoe UI"/>
                <w:sz w:val="18"/>
              </w:rPr>
              <w:t>80.00</w:t>
            </w:r>
          </w:p>
        </w:tc>
        <w:tc>
          <w:tcPr>
            <w:tcW w:type="dxa" w:w="2437"/>
            <w:tcMar>
              <w:top w:w="80" w:type="dxa"/>
              <w:bottom w:w="80" w:type="dxa"/>
              <w:left w:w="120" w:type="dxa"/>
              <w:right w:w="120" w:type="dxa"/>
            </w:tcMar>
            <w:shd w:fill="F1F5F9"/>
          </w:tcPr>
          <w:p>
            <w:pPr>
              <w:jc w:val="right"/>
            </w:pPr>
            <w:r>
              <w:rPr>
                <w:rFonts w:ascii="Segoe UI" w:hAnsi="Segoe UI"/>
                <w:sz w:val="18"/>
              </w:rPr>
              <w:t>60.00</w:t>
            </w:r>
          </w:p>
        </w:tc>
      </w:tr>
      <w:tr>
        <w:tc>
          <w:tcPr>
            <w:tcW w:type="dxa" w:w="2437"/>
            <w:tcMar>
              <w:top w:w="80" w:type="dxa"/>
              <w:bottom w:w="80" w:type="dxa"/>
              <w:left w:w="120" w:type="dxa"/>
              <w:right w:w="120" w:type="dxa"/>
            </w:tcMar>
          </w:tcPr>
          <w:p>
            <w:r>
              <w:rPr>
                <w:rFonts w:ascii="Segoe UI" w:hAnsi="Segoe UI"/>
                <w:sz w:val="18"/>
              </w:rPr>
              <w:t xml:space="preserve">   (b) Trade Payables</w:t>
            </w:r>
          </w:p>
        </w:tc>
        <w:tc>
          <w:tcPr>
            <w:tcW w:type="dxa" w:w="2437"/>
            <w:tcMar>
              <w:top w:w="80" w:type="dxa"/>
              <w:bottom w:w="80" w:type="dxa"/>
              <w:left w:w="120" w:type="dxa"/>
              <w:right w:w="120" w:type="dxa"/>
            </w:tcMar>
          </w:tcPr>
          <w:p>
            <w:r>
              <w:rPr>
                <w:rFonts w:ascii="Segoe UI" w:hAnsi="Segoe UI"/>
                <w:sz w:val="18"/>
              </w:rPr>
              <w:t>3.2</w:t>
            </w:r>
          </w:p>
        </w:tc>
        <w:tc>
          <w:tcPr>
            <w:tcW w:type="dxa" w:w="2437"/>
            <w:tcMar>
              <w:top w:w="80" w:type="dxa"/>
              <w:bottom w:w="80" w:type="dxa"/>
              <w:left w:w="120" w:type="dxa"/>
              <w:right w:w="120" w:type="dxa"/>
            </w:tcMar>
            <w:shd w:fill="F1F5F9"/>
          </w:tcPr>
          <w:p>
            <w:pPr>
              <w:jc w:val="right"/>
            </w:pPr>
            <w:r>
              <w:rPr>
                <w:rFonts w:ascii="Segoe UI" w:hAnsi="Segoe UI"/>
                <w:sz w:val="18"/>
              </w:rPr>
              <w:t>185.00</w:t>
            </w:r>
          </w:p>
        </w:tc>
        <w:tc>
          <w:tcPr>
            <w:tcW w:type="dxa" w:w="2437"/>
            <w:tcMar>
              <w:top w:w="80" w:type="dxa"/>
              <w:bottom w:w="80" w:type="dxa"/>
              <w:left w:w="120" w:type="dxa"/>
              <w:right w:w="120" w:type="dxa"/>
            </w:tcMar>
            <w:shd w:fill="F1F5F9"/>
          </w:tcPr>
          <w:p>
            <w:pPr>
              <w:jc w:val="right"/>
            </w:pPr>
            <w:r>
              <w:rPr>
                <w:rFonts w:ascii="Segoe UI" w:hAnsi="Segoe UI"/>
                <w:sz w:val="18"/>
              </w:rPr>
              <w:t>145.00</w:t>
            </w:r>
          </w:p>
        </w:tc>
      </w:tr>
      <w:tr>
        <w:tc>
          <w:tcPr>
            <w:tcW w:type="dxa" w:w="2437"/>
            <w:tcMar>
              <w:top w:w="80" w:type="dxa"/>
              <w:bottom w:w="80" w:type="dxa"/>
              <w:left w:w="120" w:type="dxa"/>
              <w:right w:w="120" w:type="dxa"/>
            </w:tcMar>
          </w:tcPr>
          <w:p>
            <w:r>
              <w:rPr>
                <w:rFonts w:ascii="Segoe UI" w:hAnsi="Segoe UI"/>
                <w:sz w:val="18"/>
              </w:rPr>
              <w:t xml:space="preserve">   (c) Other Current Liabilities</w:t>
            </w:r>
          </w:p>
        </w:tc>
        <w:tc>
          <w:tcPr>
            <w:tcW w:type="dxa" w:w="2437"/>
            <w:tcMar>
              <w:top w:w="80" w:type="dxa"/>
              <w:bottom w:w="80" w:type="dxa"/>
              <w:left w:w="120" w:type="dxa"/>
              <w:right w:w="120" w:type="dxa"/>
            </w:tcMar>
          </w:tcPr>
          <w:p>
            <w:r>
              <w:rPr>
                <w:rFonts w:ascii="Segoe UI" w:hAnsi="Segoe UI"/>
                <w:sz w:val="18"/>
              </w:rPr>
              <w:t>3.3</w:t>
            </w:r>
          </w:p>
        </w:tc>
        <w:tc>
          <w:tcPr>
            <w:tcW w:type="dxa" w:w="2437"/>
            <w:tcMar>
              <w:top w:w="80" w:type="dxa"/>
              <w:bottom w:w="80" w:type="dxa"/>
              <w:left w:w="120" w:type="dxa"/>
              <w:right w:w="120" w:type="dxa"/>
            </w:tcMar>
            <w:shd w:fill="F1F5F9"/>
          </w:tcPr>
          <w:p>
            <w:pPr>
              <w:jc w:val="right"/>
            </w:pPr>
            <w:r>
              <w:rPr>
                <w:rFonts w:ascii="Segoe UI" w:hAnsi="Segoe UI"/>
                <w:sz w:val="18"/>
              </w:rPr>
              <w:t>25.00</w:t>
            </w:r>
          </w:p>
        </w:tc>
        <w:tc>
          <w:tcPr>
            <w:tcW w:type="dxa" w:w="2437"/>
            <w:tcMar>
              <w:top w:w="80" w:type="dxa"/>
              <w:bottom w:w="80" w:type="dxa"/>
              <w:left w:w="120" w:type="dxa"/>
              <w:right w:w="120" w:type="dxa"/>
            </w:tcMar>
            <w:shd w:fill="F1F5F9"/>
          </w:tcPr>
          <w:p>
            <w:pPr>
              <w:jc w:val="right"/>
            </w:pPr>
            <w:r>
              <w:rPr>
                <w:rFonts w:ascii="Segoe UI" w:hAnsi="Segoe UI"/>
                <w:sz w:val="18"/>
              </w:rPr>
              <w:t>20.00</w:t>
            </w:r>
          </w:p>
        </w:tc>
      </w:tr>
      <w:tr>
        <w:tc>
          <w:tcPr>
            <w:tcW w:type="dxa" w:w="2437"/>
            <w:tcMar>
              <w:top w:w="80" w:type="dxa"/>
              <w:bottom w:w="80" w:type="dxa"/>
              <w:left w:w="120" w:type="dxa"/>
              <w:right w:w="120" w:type="dxa"/>
            </w:tcMar>
          </w:tcPr>
          <w:p>
            <w:r>
              <w:rPr>
                <w:rFonts w:ascii="Segoe UI" w:hAnsi="Segoe UI"/>
                <w:sz w:val="18"/>
              </w:rPr>
              <w:t xml:space="preserve">   (d) Short-term Provisions</w:t>
            </w:r>
          </w:p>
        </w:tc>
        <w:tc>
          <w:tcPr>
            <w:tcW w:type="dxa" w:w="2437"/>
            <w:tcMar>
              <w:top w:w="80" w:type="dxa"/>
              <w:bottom w:w="80" w:type="dxa"/>
              <w:left w:w="120" w:type="dxa"/>
              <w:right w:w="120" w:type="dxa"/>
            </w:tcMar>
          </w:tcPr>
          <w:p>
            <w:r>
              <w:rPr>
                <w:rFonts w:ascii="Segoe UI" w:hAnsi="Segoe UI"/>
                <w:sz w:val="18"/>
              </w:rPr>
              <w:t>3.4</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TOTAL EQUITY AND LIABILITIES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1,210.00</w:t>
            </w:r>
          </w:p>
        </w:tc>
        <w:tc>
          <w:tcPr>
            <w:tcW w:type="dxa" w:w="2437"/>
            <w:tcMar>
              <w:top w:w="80" w:type="dxa"/>
              <w:bottom w:w="80" w:type="dxa"/>
              <w:left w:w="120" w:type="dxa"/>
              <w:right w:w="120" w:type="dxa"/>
            </w:tcMar>
            <w:shd w:fill="F1F5F9"/>
          </w:tcPr>
          <w:p>
            <w:pPr>
              <w:jc w:val="right"/>
            </w:pPr>
            <w:r>
              <w:rPr>
                <w:rFonts w:ascii="Segoe UI" w:hAnsi="Segoe UI"/>
                <w:sz w:val="18"/>
              </w:rPr>
              <w:t>1,030.00</w:t>
            </w:r>
          </w:p>
        </w:tc>
      </w:tr>
      <w:tr>
        <w:tc>
          <w:tcPr>
            <w:tcW w:type="dxa" w:w="2437"/>
            <w:tcMar>
              <w:top w:w="80" w:type="dxa"/>
              <w:bottom w:w="80" w:type="dxa"/>
              <w:left w:w="120" w:type="dxa"/>
              <w:right w:w="120" w:type="dxa"/>
            </w:tcMar>
          </w:tcPr>
          <w:p>
            <w:r>
              <w:rPr>
                <w:rFonts w:ascii="Segoe UI" w:hAnsi="Segoe UI"/>
                <w:sz w:val="18"/>
              </w:rPr>
              <w:t>ASSETS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1. Non-Current Assets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715.00</w:t>
            </w:r>
          </w:p>
        </w:tc>
        <w:tc>
          <w:tcPr>
            <w:tcW w:type="dxa" w:w="2437"/>
            <w:tcMar>
              <w:top w:w="80" w:type="dxa"/>
              <w:bottom w:w="80" w:type="dxa"/>
              <w:left w:w="120" w:type="dxa"/>
              <w:right w:w="120" w:type="dxa"/>
            </w:tcMar>
            <w:shd w:fill="F1F5F9"/>
          </w:tcPr>
          <w:p>
            <w:pPr>
              <w:jc w:val="right"/>
            </w:pPr>
            <w:r>
              <w:rPr>
                <w:rFonts w:ascii="Segoe UI" w:hAnsi="Segoe UI"/>
                <w:sz w:val="18"/>
              </w:rPr>
              <w:t>645.00</w:t>
            </w:r>
          </w:p>
        </w:tc>
      </w:tr>
      <w:tr>
        <w:tc>
          <w:tcPr>
            <w:tcW w:type="dxa" w:w="2437"/>
            <w:tcMar>
              <w:top w:w="80" w:type="dxa"/>
              <w:bottom w:w="80" w:type="dxa"/>
              <w:left w:w="120" w:type="dxa"/>
              <w:right w:w="120" w:type="dxa"/>
            </w:tcMar>
          </w:tcPr>
          <w:p>
            <w:r>
              <w:rPr>
                <w:rFonts w:ascii="Segoe UI" w:hAnsi="Segoe UI"/>
                <w:sz w:val="18"/>
              </w:rPr>
              <w:t xml:space="preserve">   (a) Property, Plant and Equipment</w:t>
            </w:r>
          </w:p>
        </w:tc>
        <w:tc>
          <w:tcPr>
            <w:tcW w:type="dxa" w:w="2437"/>
            <w:tcMar>
              <w:top w:w="80" w:type="dxa"/>
              <w:bottom w:w="80" w:type="dxa"/>
              <w:left w:w="120" w:type="dxa"/>
              <w:right w:w="120" w:type="dxa"/>
            </w:tcMar>
          </w:tcPr>
          <w:p>
            <w:r>
              <w:rPr>
                <w:rFonts w:ascii="Segoe UI" w:hAnsi="Segoe UI"/>
                <w:sz w:val="18"/>
              </w:rPr>
              <w:t>4.1</w:t>
            </w:r>
          </w:p>
        </w:tc>
        <w:tc>
          <w:tcPr>
            <w:tcW w:type="dxa" w:w="2437"/>
            <w:tcMar>
              <w:top w:w="80" w:type="dxa"/>
              <w:bottom w:w="80" w:type="dxa"/>
              <w:left w:w="120" w:type="dxa"/>
              <w:right w:w="120" w:type="dxa"/>
            </w:tcMar>
            <w:shd w:fill="F1F5F9"/>
          </w:tcPr>
          <w:p>
            <w:pPr>
              <w:jc w:val="right"/>
            </w:pPr>
            <w:r>
              <w:rPr>
                <w:rFonts w:ascii="Segoe UI" w:hAnsi="Segoe UI"/>
                <w:sz w:val="18"/>
              </w:rPr>
              <w:t>670.00</w:t>
            </w:r>
          </w:p>
        </w:tc>
        <w:tc>
          <w:tcPr>
            <w:tcW w:type="dxa" w:w="2437"/>
            <w:tcMar>
              <w:top w:w="80" w:type="dxa"/>
              <w:bottom w:w="80" w:type="dxa"/>
              <w:left w:w="120" w:type="dxa"/>
              <w:right w:w="120" w:type="dxa"/>
            </w:tcMar>
            <w:shd w:fill="F1F5F9"/>
          </w:tcPr>
          <w:p>
            <w:pPr>
              <w:jc w:val="right"/>
            </w:pPr>
            <w:r>
              <w:rPr>
                <w:rFonts w:ascii="Segoe UI" w:hAnsi="Segoe UI"/>
                <w:sz w:val="18"/>
              </w:rPr>
              <w:t>630.00</w:t>
            </w:r>
          </w:p>
        </w:tc>
      </w:tr>
      <w:tr>
        <w:tc>
          <w:tcPr>
            <w:tcW w:type="dxa" w:w="2437"/>
            <w:tcMar>
              <w:top w:w="80" w:type="dxa"/>
              <w:bottom w:w="80" w:type="dxa"/>
              <w:left w:w="120" w:type="dxa"/>
              <w:right w:w="120" w:type="dxa"/>
            </w:tcMar>
          </w:tcPr>
          <w:p>
            <w:r>
              <w:rPr>
                <w:rFonts w:ascii="Segoe UI" w:hAnsi="Segoe UI"/>
                <w:sz w:val="18"/>
              </w:rPr>
              <w:t xml:space="preserve">   (b) Capital Work-in-Progress</w:t>
            </w:r>
          </w:p>
        </w:tc>
        <w:tc>
          <w:tcPr>
            <w:tcW w:type="dxa" w:w="2437"/>
            <w:tcMar>
              <w:top w:w="80" w:type="dxa"/>
              <w:bottom w:w="80" w:type="dxa"/>
              <w:left w:w="120" w:type="dxa"/>
              <w:right w:w="120" w:type="dxa"/>
            </w:tcMar>
          </w:tcPr>
          <w:p>
            <w:r>
              <w:rPr>
                <w:rFonts w:ascii="Segoe UI" w:hAnsi="Segoe UI"/>
                <w:sz w:val="18"/>
              </w:rPr>
              <w:t>4.2</w:t>
            </w:r>
          </w:p>
        </w:tc>
        <w:tc>
          <w:tcPr>
            <w:tcW w:type="dxa" w:w="2437"/>
            <w:tcMar>
              <w:top w:w="80" w:type="dxa"/>
              <w:bottom w:w="80" w:type="dxa"/>
              <w:left w:w="120" w:type="dxa"/>
              <w:right w:w="120" w:type="dxa"/>
            </w:tcMar>
            <w:shd w:fill="F1F5F9"/>
          </w:tcPr>
          <w:p>
            <w:pPr>
              <w:jc w:val="right"/>
            </w:pPr>
            <w:r>
              <w:rPr>
                <w:rFonts w:ascii="Segoe UI" w:hAnsi="Segoe UI"/>
                <w:sz w:val="18"/>
              </w:rPr>
              <w:t>45.00</w:t>
            </w:r>
          </w:p>
        </w:tc>
        <w:tc>
          <w:tcPr>
            <w:tcW w:type="dxa" w:w="2437"/>
            <w:tcMar>
              <w:top w:w="80" w:type="dxa"/>
              <w:bottom w:w="80" w:type="dxa"/>
              <w:left w:w="120" w:type="dxa"/>
              <w:right w:w="120" w:type="dxa"/>
            </w:tcMar>
            <w:shd w:fill="F1F5F9"/>
          </w:tcPr>
          <w:p>
            <w:pPr>
              <w:jc w:val="right"/>
            </w:pPr>
            <w:r>
              <w:rPr>
                <w:rFonts w:ascii="Segoe UI" w:hAnsi="Segoe UI"/>
                <w:sz w:val="18"/>
              </w:rPr>
              <w:t>15.00</w:t>
            </w:r>
          </w:p>
        </w:tc>
      </w:tr>
      <w:tr>
        <w:tc>
          <w:tcPr>
            <w:tcW w:type="dxa" w:w="2437"/>
            <w:tcMar>
              <w:top w:w="80" w:type="dxa"/>
              <w:bottom w:w="80" w:type="dxa"/>
              <w:left w:w="120" w:type="dxa"/>
              <w:right w:w="120" w:type="dxa"/>
            </w:tcMar>
          </w:tcPr>
          <w:p>
            <w:r>
              <w:rPr>
                <w:rFonts w:ascii="Segoe UI" w:hAnsi="Segoe UI"/>
                <w:sz w:val="18"/>
              </w:rPr>
              <w:t xml:space="preserve">   (c) Non-current Investments</w:t>
            </w:r>
          </w:p>
        </w:tc>
        <w:tc>
          <w:tcPr>
            <w:tcW w:type="dxa" w:w="2437"/>
            <w:tcMar>
              <w:top w:w="80" w:type="dxa"/>
              <w:bottom w:w="80" w:type="dxa"/>
              <w:left w:w="120" w:type="dxa"/>
              <w:right w:w="120" w:type="dxa"/>
            </w:tcMar>
          </w:tcPr>
          <w:p>
            <w:r>
              <w:rPr>
                <w:rFonts w:ascii="Segoe UI" w:hAnsi="Segoe UI"/>
                <w:sz w:val="18"/>
              </w:rPr>
              <w:t>4.3</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 xml:space="preserve">   (d) Long-term Loans and Advances</w:t>
            </w:r>
          </w:p>
        </w:tc>
        <w:tc>
          <w:tcPr>
            <w:tcW w:type="dxa" w:w="2437"/>
            <w:tcMar>
              <w:top w:w="80" w:type="dxa"/>
              <w:bottom w:w="80" w:type="dxa"/>
              <w:left w:w="120" w:type="dxa"/>
              <w:right w:w="120" w:type="dxa"/>
            </w:tcMar>
          </w:tcPr>
          <w:p>
            <w:r>
              <w:rPr>
                <w:rFonts w:ascii="Segoe UI" w:hAnsi="Segoe UI"/>
                <w:sz w:val="18"/>
              </w:rPr>
              <w:t>4.4</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 xml:space="preserve">   (e) Other Non-current Assets</w:t>
            </w:r>
          </w:p>
        </w:tc>
        <w:tc>
          <w:tcPr>
            <w:tcW w:type="dxa" w:w="2437"/>
            <w:tcMar>
              <w:top w:w="80" w:type="dxa"/>
              <w:bottom w:w="80" w:type="dxa"/>
              <w:left w:w="120" w:type="dxa"/>
              <w:right w:w="120" w:type="dxa"/>
            </w:tcMar>
          </w:tcPr>
          <w:p>
            <w:r>
              <w:rPr>
                <w:rFonts w:ascii="Segoe UI" w:hAnsi="Segoe UI"/>
                <w:sz w:val="18"/>
              </w:rPr>
              <w:t>4.5</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2. Current Assets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495.00</w:t>
            </w:r>
          </w:p>
        </w:tc>
        <w:tc>
          <w:tcPr>
            <w:tcW w:type="dxa" w:w="2437"/>
            <w:tcMar>
              <w:top w:w="80" w:type="dxa"/>
              <w:bottom w:w="80" w:type="dxa"/>
              <w:left w:w="120" w:type="dxa"/>
              <w:right w:w="120" w:type="dxa"/>
            </w:tcMar>
            <w:shd w:fill="F1F5F9"/>
          </w:tcPr>
          <w:p>
            <w:pPr>
              <w:jc w:val="right"/>
            </w:pPr>
            <w:r>
              <w:rPr>
                <w:rFonts w:ascii="Segoe UI" w:hAnsi="Segoe UI"/>
                <w:sz w:val="18"/>
              </w:rPr>
              <w:t>415.00</w:t>
            </w:r>
          </w:p>
        </w:tc>
      </w:tr>
      <w:tr>
        <w:tc>
          <w:tcPr>
            <w:tcW w:type="dxa" w:w="2437"/>
            <w:tcMar>
              <w:top w:w="80" w:type="dxa"/>
              <w:bottom w:w="80" w:type="dxa"/>
              <w:left w:w="120" w:type="dxa"/>
              <w:right w:w="120" w:type="dxa"/>
            </w:tcMar>
          </w:tcPr>
          <w:p>
            <w:r>
              <w:rPr>
                <w:rFonts w:ascii="Segoe UI" w:hAnsi="Segoe UI"/>
                <w:sz w:val="18"/>
              </w:rPr>
              <w:t xml:space="preserve">   (a) Inventories</w:t>
            </w:r>
          </w:p>
        </w:tc>
        <w:tc>
          <w:tcPr>
            <w:tcW w:type="dxa" w:w="2437"/>
            <w:tcMar>
              <w:top w:w="80" w:type="dxa"/>
              <w:bottom w:w="80" w:type="dxa"/>
              <w:left w:w="120" w:type="dxa"/>
              <w:right w:w="120" w:type="dxa"/>
            </w:tcMar>
          </w:tcPr>
          <w:p>
            <w:r>
              <w:rPr>
                <w:rFonts w:ascii="Segoe UI" w:hAnsi="Segoe UI"/>
                <w:sz w:val="18"/>
              </w:rPr>
              <w:t>5.1</w:t>
            </w:r>
          </w:p>
        </w:tc>
        <w:tc>
          <w:tcPr>
            <w:tcW w:type="dxa" w:w="2437"/>
            <w:tcMar>
              <w:top w:w="80" w:type="dxa"/>
              <w:bottom w:w="80" w:type="dxa"/>
              <w:left w:w="120" w:type="dxa"/>
              <w:right w:w="120" w:type="dxa"/>
            </w:tcMar>
            <w:shd w:fill="F1F5F9"/>
          </w:tcPr>
          <w:p>
            <w:pPr>
              <w:jc w:val="right"/>
            </w:pPr>
            <w:r>
              <w:rPr>
                <w:rFonts w:ascii="Segoe UI" w:hAnsi="Segoe UI"/>
                <w:sz w:val="18"/>
              </w:rPr>
              <w:t>145.00</w:t>
            </w:r>
          </w:p>
        </w:tc>
        <w:tc>
          <w:tcPr>
            <w:tcW w:type="dxa" w:w="2437"/>
            <w:tcMar>
              <w:top w:w="80" w:type="dxa"/>
              <w:bottom w:w="80" w:type="dxa"/>
              <w:left w:w="120" w:type="dxa"/>
              <w:right w:w="120" w:type="dxa"/>
            </w:tcMar>
            <w:shd w:fill="F1F5F9"/>
          </w:tcPr>
          <w:p>
            <w:pPr>
              <w:jc w:val="right"/>
            </w:pPr>
            <w:r>
              <w:rPr>
                <w:rFonts w:ascii="Segoe UI" w:hAnsi="Segoe UI"/>
                <w:sz w:val="18"/>
              </w:rPr>
              <w:t>120.00</w:t>
            </w:r>
          </w:p>
        </w:tc>
      </w:tr>
      <w:tr>
        <w:tc>
          <w:tcPr>
            <w:tcW w:type="dxa" w:w="2437"/>
            <w:tcMar>
              <w:top w:w="80" w:type="dxa"/>
              <w:bottom w:w="80" w:type="dxa"/>
              <w:left w:w="120" w:type="dxa"/>
              <w:right w:w="120" w:type="dxa"/>
            </w:tcMar>
          </w:tcPr>
          <w:p>
            <w:r>
              <w:rPr>
                <w:rFonts w:ascii="Segoe UI" w:hAnsi="Segoe UI"/>
                <w:sz w:val="18"/>
              </w:rPr>
              <w:t xml:space="preserve">   (b) Trade Receivables</w:t>
            </w:r>
          </w:p>
        </w:tc>
        <w:tc>
          <w:tcPr>
            <w:tcW w:type="dxa" w:w="2437"/>
            <w:tcMar>
              <w:top w:w="80" w:type="dxa"/>
              <w:bottom w:w="80" w:type="dxa"/>
              <w:left w:w="120" w:type="dxa"/>
              <w:right w:w="120" w:type="dxa"/>
            </w:tcMar>
          </w:tcPr>
          <w:p>
            <w:r>
              <w:rPr>
                <w:rFonts w:ascii="Segoe UI" w:hAnsi="Segoe UI"/>
                <w:sz w:val="18"/>
              </w:rPr>
              <w:t>5.2</w:t>
            </w:r>
          </w:p>
        </w:tc>
        <w:tc>
          <w:tcPr>
            <w:tcW w:type="dxa" w:w="2437"/>
            <w:tcMar>
              <w:top w:w="80" w:type="dxa"/>
              <w:bottom w:w="80" w:type="dxa"/>
              <w:left w:w="120" w:type="dxa"/>
              <w:right w:w="120" w:type="dxa"/>
            </w:tcMar>
            <w:shd w:fill="F1F5F9"/>
          </w:tcPr>
          <w:p>
            <w:pPr>
              <w:jc w:val="right"/>
            </w:pPr>
            <w:r>
              <w:rPr>
                <w:rFonts w:ascii="Segoe UI" w:hAnsi="Segoe UI"/>
                <w:sz w:val="18"/>
              </w:rPr>
              <w:t>175.00</w:t>
            </w:r>
          </w:p>
        </w:tc>
        <w:tc>
          <w:tcPr>
            <w:tcW w:type="dxa" w:w="2437"/>
            <w:tcMar>
              <w:top w:w="80" w:type="dxa"/>
              <w:bottom w:w="80" w:type="dxa"/>
              <w:left w:w="120" w:type="dxa"/>
              <w:right w:w="120" w:type="dxa"/>
            </w:tcMar>
            <w:shd w:fill="F1F5F9"/>
          </w:tcPr>
          <w:p>
            <w:pPr>
              <w:jc w:val="right"/>
            </w:pPr>
            <w:r>
              <w:rPr>
                <w:rFonts w:ascii="Segoe UI" w:hAnsi="Segoe UI"/>
                <w:sz w:val="18"/>
              </w:rPr>
              <w:t>140.00</w:t>
            </w:r>
          </w:p>
        </w:tc>
      </w:tr>
      <w:tr>
        <w:tc>
          <w:tcPr>
            <w:tcW w:type="dxa" w:w="2437"/>
            <w:tcMar>
              <w:top w:w="80" w:type="dxa"/>
              <w:bottom w:w="80" w:type="dxa"/>
              <w:left w:w="120" w:type="dxa"/>
              <w:right w:w="120" w:type="dxa"/>
            </w:tcMar>
          </w:tcPr>
          <w:p>
            <w:r>
              <w:rPr>
                <w:rFonts w:ascii="Segoe UI" w:hAnsi="Segoe UI"/>
                <w:sz w:val="18"/>
              </w:rPr>
              <w:t xml:space="preserve">   (c) Cash and Bank Balances</w:t>
            </w:r>
          </w:p>
        </w:tc>
        <w:tc>
          <w:tcPr>
            <w:tcW w:type="dxa" w:w="2437"/>
            <w:tcMar>
              <w:top w:w="80" w:type="dxa"/>
              <w:bottom w:w="80" w:type="dxa"/>
              <w:left w:w="120" w:type="dxa"/>
              <w:right w:w="120" w:type="dxa"/>
            </w:tcMar>
          </w:tcPr>
          <w:p>
            <w:r>
              <w:rPr>
                <w:rFonts w:ascii="Segoe UI" w:hAnsi="Segoe UI"/>
                <w:sz w:val="18"/>
              </w:rPr>
              <w:t>5.3</w:t>
            </w:r>
          </w:p>
        </w:tc>
        <w:tc>
          <w:tcPr>
            <w:tcW w:type="dxa" w:w="2437"/>
            <w:tcMar>
              <w:top w:w="80" w:type="dxa"/>
              <w:bottom w:w="80" w:type="dxa"/>
              <w:left w:w="120" w:type="dxa"/>
              <w:right w:w="120" w:type="dxa"/>
            </w:tcMar>
            <w:shd w:fill="F1F5F9"/>
          </w:tcPr>
          <w:p>
            <w:pPr>
              <w:jc w:val="right"/>
            </w:pPr>
            <w:r>
              <w:rPr>
                <w:rFonts w:ascii="Segoe UI" w:hAnsi="Segoe UI"/>
                <w:sz w:val="18"/>
              </w:rPr>
              <w:t>175.00</w:t>
            </w:r>
          </w:p>
        </w:tc>
        <w:tc>
          <w:tcPr>
            <w:tcW w:type="dxa" w:w="2437"/>
            <w:tcMar>
              <w:top w:w="80" w:type="dxa"/>
              <w:bottom w:w="80" w:type="dxa"/>
              <w:left w:w="120" w:type="dxa"/>
              <w:right w:w="120" w:type="dxa"/>
            </w:tcMar>
            <w:shd w:fill="F1F5F9"/>
          </w:tcPr>
          <w:p>
            <w:pPr>
              <w:jc w:val="right"/>
            </w:pPr>
            <w:r>
              <w:rPr>
                <w:rFonts w:ascii="Segoe UI" w:hAnsi="Segoe UI"/>
                <w:sz w:val="18"/>
              </w:rPr>
              <w:t>155.00</w:t>
            </w:r>
          </w:p>
        </w:tc>
      </w:tr>
      <w:tr>
        <w:tc>
          <w:tcPr>
            <w:tcW w:type="dxa" w:w="2437"/>
            <w:tcMar>
              <w:top w:w="80" w:type="dxa"/>
              <w:bottom w:w="80" w:type="dxa"/>
              <w:left w:w="120" w:type="dxa"/>
              <w:right w:w="120" w:type="dxa"/>
            </w:tcMar>
          </w:tcPr>
          <w:p>
            <w:r>
              <w:rPr>
                <w:rFonts w:ascii="Segoe UI" w:hAnsi="Segoe UI"/>
                <w:sz w:val="18"/>
              </w:rPr>
              <w:t xml:space="preserve">   (d) Short-term Loans and Advances</w:t>
            </w:r>
          </w:p>
        </w:tc>
        <w:tc>
          <w:tcPr>
            <w:tcW w:type="dxa" w:w="2437"/>
            <w:tcMar>
              <w:top w:w="80" w:type="dxa"/>
              <w:bottom w:w="80" w:type="dxa"/>
              <w:left w:w="120" w:type="dxa"/>
              <w:right w:w="120" w:type="dxa"/>
            </w:tcMar>
          </w:tcPr>
          <w:p>
            <w:r>
              <w:rPr>
                <w:rFonts w:ascii="Segoe UI" w:hAnsi="Segoe UI"/>
                <w:sz w:val="18"/>
              </w:rPr>
              <w:t>5.4</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 xml:space="preserve">   (e) Other Current Assets</w:t>
            </w:r>
          </w:p>
        </w:tc>
        <w:tc>
          <w:tcPr>
            <w:tcW w:type="dxa" w:w="2437"/>
            <w:tcMar>
              <w:top w:w="80" w:type="dxa"/>
              <w:bottom w:w="80" w:type="dxa"/>
              <w:left w:w="120" w:type="dxa"/>
              <w:right w:w="120" w:type="dxa"/>
            </w:tcMar>
          </w:tcPr>
          <w:p>
            <w:r>
              <w:rPr>
                <w:rFonts w:ascii="Segoe UI" w:hAnsi="Segoe UI"/>
                <w:sz w:val="18"/>
              </w:rPr>
              <w:t>5.5</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TOTAL ASSETS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1,210.00</w:t>
            </w:r>
          </w:p>
        </w:tc>
        <w:tc>
          <w:tcPr>
            <w:tcW w:type="dxa" w:w="2437"/>
            <w:tcMar>
              <w:top w:w="80" w:type="dxa"/>
              <w:bottom w:w="80" w:type="dxa"/>
              <w:left w:w="120" w:type="dxa"/>
              <w:right w:w="120" w:type="dxa"/>
            </w:tcMar>
            <w:shd w:fill="F1F5F9"/>
          </w:tcPr>
          <w:p>
            <w:pPr>
              <w:jc w:val="right"/>
            </w:pPr>
            <w:r>
              <w:rPr>
                <w:rFonts w:ascii="Segoe UI" w:hAnsi="Segoe UI"/>
                <w:sz w:val="18"/>
              </w:rPr>
              <w:t>1,060.00</w:t>
            </w:r>
          </w:p>
        </w:tc>
      </w:tr>
    </w:tbl>
    <w:p>
      <w:r>
        <w:br w:type="page"/>
      </w:r>
    </w:p>
    <w:p>
      <w:pPr>
        <w:keepNext/>
        <w:spacing w:before="280" w:after="120"/>
      </w:pPr>
      <w:r>
        <w:rPr>
          <w:rFonts w:ascii="Segoe UI" w:hAnsi="Segoe UI"/>
          <w:b/>
          <w:color w:val="1B365D"/>
          <w:sz w:val="26"/>
        </w:rPr>
        <w:t>STATEMENT OF PROFIT AND LOSS FOR THE YEAR ENDED MARCH 31, 2025</w:t>
      </w:r>
    </w:p>
    <w:tbl>
      <w:tblPr>
        <w:tblW w:type="auto" w:w="0"/>
        <w:jc w:val="center"/>
        <w:tblLook w:firstColumn="1" w:firstRow="1" w:lastColumn="0" w:lastRow="0" w:noHBand="0" w:noVBand="1" w:val="04A0"/>
      </w:tblPr>
      <w:tblGrid>
        <w:gridCol w:w="2437"/>
        <w:gridCol w:w="2437"/>
        <w:gridCol w:w="2437"/>
        <w:gridCol w:w="2437"/>
      </w:tblGrid>
      <w:tr>
        <w:tc>
          <w:tcPr>
            <w:tcW w:type="dxa" w:w="2437"/>
            <w:shd w:fill="1B365D"/>
            <w:tcMar>
              <w:top w:w="120" w:type="dxa"/>
              <w:bottom w:w="120" w:type="dxa"/>
              <w:left w:w="150" w:type="dxa"/>
              <w:right w:w="150" w:type="dxa"/>
            </w:tcMar>
          </w:tcPr>
          <w:p>
            <w:pPr>
              <w:jc w:val="center"/>
            </w:pPr>
            <w:r>
              <w:t>Particulars</w:t>
            </w:r>
          </w:p>
        </w:tc>
        <w:tc>
          <w:tcPr>
            <w:tcW w:type="dxa" w:w="2437"/>
            <w:shd w:fill="1B365D"/>
            <w:tcMar>
              <w:top w:w="120" w:type="dxa"/>
              <w:bottom w:w="120" w:type="dxa"/>
              <w:left w:w="150" w:type="dxa"/>
              <w:right w:w="150" w:type="dxa"/>
            </w:tcMar>
          </w:tcPr>
          <w:p>
            <w:pPr>
              <w:jc w:val="center"/>
            </w:pPr>
            <w:r>
              <w:t>Note #</w:t>
            </w:r>
          </w:p>
        </w:tc>
        <w:tc>
          <w:tcPr>
            <w:tcW w:type="dxa" w:w="2437"/>
            <w:shd w:fill="1B365D"/>
            <w:tcMar>
              <w:top w:w="120" w:type="dxa"/>
              <w:bottom w:w="120" w:type="dxa"/>
              <w:left w:w="150" w:type="dxa"/>
              <w:right w:w="150" w:type="dxa"/>
            </w:tcMar>
          </w:tcPr>
          <w:p>
            <w:pPr>
              <w:jc w:val="center"/>
            </w:pPr>
            <w:r>
              <w:t>Current Year (CY)</w:t>
            </w:r>
          </w:p>
        </w:tc>
        <w:tc>
          <w:tcPr>
            <w:tcW w:type="dxa" w:w="2437"/>
            <w:shd w:fill="1B365D"/>
            <w:tcMar>
              <w:top w:w="120" w:type="dxa"/>
              <w:bottom w:w="120" w:type="dxa"/>
              <w:left w:w="150" w:type="dxa"/>
              <w:right w:w="150" w:type="dxa"/>
            </w:tcMar>
          </w:tcPr>
          <w:p>
            <w:pPr>
              <w:jc w:val="center"/>
            </w:pPr>
            <w:r>
              <w:t>Previous Year (PY)</w:t>
            </w:r>
          </w:p>
        </w:tc>
      </w:tr>
      <w:tr>
        <w:tc>
          <w:tcPr>
            <w:tcW w:type="dxa" w:w="2437"/>
            <w:tcMar>
              <w:top w:w="80" w:type="dxa"/>
              <w:bottom w:w="80" w:type="dxa"/>
              <w:left w:w="120" w:type="dxa"/>
              <w:right w:w="120" w:type="dxa"/>
            </w:tcMar>
          </w:tcPr>
          <w:p>
            <w:r>
              <w:rPr>
                <w:rFonts w:ascii="Segoe UI" w:hAnsi="Segoe UI"/>
                <w:sz w:val="18"/>
              </w:rPr>
              <w:t>I. Revenue from Operations</w:t>
            </w:r>
          </w:p>
        </w:tc>
        <w:tc>
          <w:tcPr>
            <w:tcW w:type="dxa" w:w="2437"/>
            <w:tcMar>
              <w:top w:w="80" w:type="dxa"/>
              <w:bottom w:w="80" w:type="dxa"/>
              <w:left w:w="120" w:type="dxa"/>
              <w:right w:w="120" w:type="dxa"/>
            </w:tcMar>
          </w:tcPr>
          <w:p>
            <w:r>
              <w:rPr>
                <w:rFonts w:ascii="Segoe UI" w:hAnsi="Segoe UI"/>
                <w:sz w:val="18"/>
              </w:rPr>
              <w:t>6.1</w:t>
            </w:r>
          </w:p>
        </w:tc>
        <w:tc>
          <w:tcPr>
            <w:tcW w:type="dxa" w:w="2437"/>
            <w:tcMar>
              <w:top w:w="80" w:type="dxa"/>
              <w:bottom w:w="80" w:type="dxa"/>
              <w:left w:w="120" w:type="dxa"/>
              <w:right w:w="120" w:type="dxa"/>
            </w:tcMar>
            <w:shd w:fill="F1F5F9"/>
          </w:tcPr>
          <w:p>
            <w:pPr>
              <w:jc w:val="right"/>
            </w:pPr>
            <w:r>
              <w:rPr>
                <w:rFonts w:ascii="Segoe UI" w:hAnsi="Segoe UI"/>
                <w:sz w:val="18"/>
              </w:rPr>
              <w:t>850.00</w:t>
            </w:r>
          </w:p>
        </w:tc>
        <w:tc>
          <w:tcPr>
            <w:tcW w:type="dxa" w:w="2437"/>
            <w:tcMar>
              <w:top w:w="80" w:type="dxa"/>
              <w:bottom w:w="80" w:type="dxa"/>
              <w:left w:w="120" w:type="dxa"/>
              <w:right w:w="120" w:type="dxa"/>
            </w:tcMar>
            <w:shd w:fill="F1F5F9"/>
          </w:tcPr>
          <w:p>
            <w:pPr>
              <w:jc w:val="right"/>
            </w:pPr>
            <w:r>
              <w:rPr>
                <w:rFonts w:ascii="Segoe UI" w:hAnsi="Segoe UI"/>
                <w:sz w:val="18"/>
              </w:rPr>
              <w:t>700.00</w:t>
            </w:r>
          </w:p>
        </w:tc>
      </w:tr>
      <w:tr>
        <w:tc>
          <w:tcPr>
            <w:tcW w:type="dxa" w:w="2437"/>
            <w:tcMar>
              <w:top w:w="80" w:type="dxa"/>
              <w:bottom w:w="80" w:type="dxa"/>
              <w:left w:w="120" w:type="dxa"/>
              <w:right w:w="120" w:type="dxa"/>
            </w:tcMar>
          </w:tcPr>
          <w:p>
            <w:r>
              <w:rPr>
                <w:rFonts w:ascii="Segoe UI" w:hAnsi="Segoe UI"/>
                <w:sz w:val="18"/>
              </w:rPr>
              <w:t>II. Other Income</w:t>
            </w:r>
          </w:p>
        </w:tc>
        <w:tc>
          <w:tcPr>
            <w:tcW w:type="dxa" w:w="2437"/>
            <w:tcMar>
              <w:top w:w="80" w:type="dxa"/>
              <w:bottom w:w="80" w:type="dxa"/>
              <w:left w:w="120" w:type="dxa"/>
              <w:right w:w="120" w:type="dxa"/>
            </w:tcMar>
          </w:tcPr>
          <w:p>
            <w:r>
              <w:rPr>
                <w:rFonts w:ascii="Segoe UI" w:hAnsi="Segoe UI"/>
                <w:sz w:val="18"/>
              </w:rPr>
              <w:t>6.2</w:t>
            </w:r>
          </w:p>
        </w:tc>
        <w:tc>
          <w:tcPr>
            <w:tcW w:type="dxa" w:w="2437"/>
            <w:tcMar>
              <w:top w:w="80" w:type="dxa"/>
              <w:bottom w:w="80" w:type="dxa"/>
              <w:left w:w="120" w:type="dxa"/>
              <w:right w:w="120" w:type="dxa"/>
            </w:tcMar>
            <w:shd w:fill="F1F5F9"/>
          </w:tcPr>
          <w:p>
            <w:pPr>
              <w:jc w:val="right"/>
            </w:pPr>
            <w:r>
              <w:rPr>
                <w:rFonts w:ascii="Segoe UI" w:hAnsi="Segoe UI"/>
                <w:sz w:val="18"/>
              </w:rPr>
              <w:t>15.00</w:t>
            </w:r>
          </w:p>
        </w:tc>
        <w:tc>
          <w:tcPr>
            <w:tcW w:type="dxa" w:w="2437"/>
            <w:tcMar>
              <w:top w:w="80" w:type="dxa"/>
              <w:bottom w:w="80" w:type="dxa"/>
              <w:left w:w="120" w:type="dxa"/>
              <w:right w:w="120" w:type="dxa"/>
            </w:tcMar>
            <w:shd w:fill="F1F5F9"/>
          </w:tcPr>
          <w:p>
            <w:pPr>
              <w:jc w:val="right"/>
            </w:pPr>
            <w:r>
              <w:rPr>
                <w:rFonts w:ascii="Segoe UI" w:hAnsi="Segoe UI"/>
                <w:sz w:val="18"/>
              </w:rPr>
              <w:t>10.00</w:t>
            </w:r>
          </w:p>
        </w:tc>
      </w:tr>
      <w:tr>
        <w:tc>
          <w:tcPr>
            <w:tcW w:type="dxa" w:w="2437"/>
            <w:tcMar>
              <w:top w:w="80" w:type="dxa"/>
              <w:bottom w:w="80" w:type="dxa"/>
              <w:left w:w="120" w:type="dxa"/>
              <w:right w:w="120" w:type="dxa"/>
            </w:tcMar>
          </w:tcPr>
          <w:p>
            <w:r>
              <w:rPr>
                <w:rFonts w:ascii="Segoe UI" w:hAnsi="Segoe UI"/>
                <w:sz w:val="18"/>
              </w:rPr>
              <w:t>III. Total Income (I + II)</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865.00</w:t>
            </w:r>
          </w:p>
        </w:tc>
        <w:tc>
          <w:tcPr>
            <w:tcW w:type="dxa" w:w="2437"/>
            <w:tcMar>
              <w:top w:w="80" w:type="dxa"/>
              <w:bottom w:w="80" w:type="dxa"/>
              <w:left w:w="120" w:type="dxa"/>
              <w:right w:w="120" w:type="dxa"/>
            </w:tcMar>
            <w:shd w:fill="F1F5F9"/>
          </w:tcPr>
          <w:p>
            <w:pPr>
              <w:jc w:val="right"/>
            </w:pPr>
            <w:r>
              <w:rPr>
                <w:rFonts w:ascii="Segoe UI" w:hAnsi="Segoe UI"/>
                <w:sz w:val="18"/>
              </w:rPr>
              <w:t>710.00</w:t>
            </w:r>
          </w:p>
        </w:tc>
      </w:tr>
      <w:tr>
        <w:tc>
          <w:tcPr>
            <w:tcW w:type="dxa" w:w="2437"/>
            <w:tcMar>
              <w:top w:w="80" w:type="dxa"/>
              <w:bottom w:w="80" w:type="dxa"/>
              <w:left w:w="120" w:type="dxa"/>
              <w:right w:w="120" w:type="dxa"/>
            </w:tcMar>
          </w:tcPr>
          <w:p>
            <w:r>
              <w:rPr>
                <w:rFonts w:ascii="Segoe UI" w:hAnsi="Segoe UI"/>
                <w:sz w:val="18"/>
              </w:rPr>
              <w:t>IV. Expenses: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 xml:space="preserve">   Cost of Materials Consumed</w:t>
            </w:r>
          </w:p>
        </w:tc>
        <w:tc>
          <w:tcPr>
            <w:tcW w:type="dxa" w:w="2437"/>
            <w:tcMar>
              <w:top w:w="80" w:type="dxa"/>
              <w:bottom w:w="80" w:type="dxa"/>
              <w:left w:w="120" w:type="dxa"/>
              <w:right w:w="120" w:type="dxa"/>
            </w:tcMar>
          </w:tcPr>
          <w:p>
            <w:r>
              <w:rPr>
                <w:rFonts w:ascii="Segoe UI" w:hAnsi="Segoe UI"/>
                <w:sz w:val="18"/>
              </w:rPr>
              <w:t>7.1</w:t>
            </w:r>
          </w:p>
        </w:tc>
        <w:tc>
          <w:tcPr>
            <w:tcW w:type="dxa" w:w="2437"/>
            <w:tcMar>
              <w:top w:w="80" w:type="dxa"/>
              <w:bottom w:w="80" w:type="dxa"/>
              <w:left w:w="120" w:type="dxa"/>
              <w:right w:w="120" w:type="dxa"/>
            </w:tcMar>
            <w:shd w:fill="F1F5F9"/>
          </w:tcPr>
          <w:p>
            <w:pPr>
              <w:jc w:val="right"/>
            </w:pPr>
            <w:r>
              <w:rPr>
                <w:rFonts w:ascii="Segoe UI" w:hAnsi="Segoe UI"/>
                <w:sz w:val="18"/>
              </w:rPr>
              <w:t>420.00</w:t>
            </w:r>
          </w:p>
        </w:tc>
        <w:tc>
          <w:tcPr>
            <w:tcW w:type="dxa" w:w="2437"/>
            <w:tcMar>
              <w:top w:w="80" w:type="dxa"/>
              <w:bottom w:w="80" w:type="dxa"/>
              <w:left w:w="120" w:type="dxa"/>
              <w:right w:w="120" w:type="dxa"/>
            </w:tcMar>
            <w:shd w:fill="F1F5F9"/>
          </w:tcPr>
          <w:p>
            <w:pPr>
              <w:jc w:val="right"/>
            </w:pPr>
            <w:r>
              <w:rPr>
                <w:rFonts w:ascii="Segoe UI" w:hAnsi="Segoe UI"/>
                <w:sz w:val="18"/>
              </w:rPr>
              <w:t>350.00</w:t>
            </w:r>
          </w:p>
        </w:tc>
      </w:tr>
      <w:tr>
        <w:tc>
          <w:tcPr>
            <w:tcW w:type="dxa" w:w="2437"/>
            <w:tcMar>
              <w:top w:w="80" w:type="dxa"/>
              <w:bottom w:w="80" w:type="dxa"/>
              <w:left w:w="120" w:type="dxa"/>
              <w:right w:w="120" w:type="dxa"/>
            </w:tcMar>
          </w:tcPr>
          <w:p>
            <w:r>
              <w:rPr>
                <w:rFonts w:ascii="Segoe UI" w:hAnsi="Segoe UI"/>
                <w:sz w:val="18"/>
              </w:rPr>
              <w:t xml:space="preserve">   Purchases of Stock-in-Trade</w:t>
            </w:r>
          </w:p>
        </w:tc>
        <w:tc>
          <w:tcPr>
            <w:tcW w:type="dxa" w:w="2437"/>
            <w:tcMar>
              <w:top w:w="80" w:type="dxa"/>
              <w:bottom w:w="80" w:type="dxa"/>
              <w:left w:w="120" w:type="dxa"/>
              <w:right w:w="120" w:type="dxa"/>
            </w:tcMar>
          </w:tcPr>
          <w:p>
            <w:r>
              <w:rPr>
                <w:rFonts w:ascii="Segoe UI" w:hAnsi="Segoe UI"/>
                <w:sz w:val="18"/>
              </w:rPr>
              <w:t>7.1</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 xml:space="preserve">   Changes in Inventories</w:t>
            </w:r>
          </w:p>
        </w:tc>
        <w:tc>
          <w:tcPr>
            <w:tcW w:type="dxa" w:w="2437"/>
            <w:tcMar>
              <w:top w:w="80" w:type="dxa"/>
              <w:bottom w:w="80" w:type="dxa"/>
              <w:left w:w="120" w:type="dxa"/>
              <w:right w:w="120" w:type="dxa"/>
            </w:tcMar>
          </w:tcPr>
          <w:p>
            <w:r>
              <w:rPr>
                <w:rFonts w:ascii="Segoe UI" w:hAnsi="Segoe UI"/>
                <w:sz w:val="18"/>
              </w:rPr>
              <w:t>7.1</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 xml:space="preserve">   Employee Benefit Expenses</w:t>
            </w:r>
          </w:p>
        </w:tc>
        <w:tc>
          <w:tcPr>
            <w:tcW w:type="dxa" w:w="2437"/>
            <w:tcMar>
              <w:top w:w="80" w:type="dxa"/>
              <w:bottom w:w="80" w:type="dxa"/>
              <w:left w:w="120" w:type="dxa"/>
              <w:right w:w="120" w:type="dxa"/>
            </w:tcMar>
          </w:tcPr>
          <w:p>
            <w:r>
              <w:rPr>
                <w:rFonts w:ascii="Segoe UI" w:hAnsi="Segoe UI"/>
                <w:sz w:val="18"/>
              </w:rPr>
              <w:t>7.2</w:t>
            </w:r>
          </w:p>
        </w:tc>
        <w:tc>
          <w:tcPr>
            <w:tcW w:type="dxa" w:w="2437"/>
            <w:tcMar>
              <w:top w:w="80" w:type="dxa"/>
              <w:bottom w:w="80" w:type="dxa"/>
              <w:left w:w="120" w:type="dxa"/>
              <w:right w:w="120" w:type="dxa"/>
            </w:tcMar>
            <w:shd w:fill="F1F5F9"/>
          </w:tcPr>
          <w:p>
            <w:pPr>
              <w:jc w:val="right"/>
            </w:pPr>
            <w:r>
              <w:rPr>
                <w:rFonts w:ascii="Segoe UI" w:hAnsi="Segoe UI"/>
                <w:sz w:val="18"/>
              </w:rPr>
              <w:t>140.00</w:t>
            </w:r>
          </w:p>
        </w:tc>
        <w:tc>
          <w:tcPr>
            <w:tcW w:type="dxa" w:w="2437"/>
            <w:tcMar>
              <w:top w:w="80" w:type="dxa"/>
              <w:bottom w:w="80" w:type="dxa"/>
              <w:left w:w="120" w:type="dxa"/>
              <w:right w:w="120" w:type="dxa"/>
            </w:tcMar>
            <w:shd w:fill="F1F5F9"/>
          </w:tcPr>
          <w:p>
            <w:pPr>
              <w:jc w:val="right"/>
            </w:pPr>
            <w:r>
              <w:rPr>
                <w:rFonts w:ascii="Segoe UI" w:hAnsi="Segoe UI"/>
                <w:sz w:val="18"/>
              </w:rPr>
              <w:t>120.00</w:t>
            </w:r>
          </w:p>
        </w:tc>
      </w:tr>
      <w:tr>
        <w:tc>
          <w:tcPr>
            <w:tcW w:type="dxa" w:w="2437"/>
            <w:tcMar>
              <w:top w:w="80" w:type="dxa"/>
              <w:bottom w:w="80" w:type="dxa"/>
              <w:left w:w="120" w:type="dxa"/>
              <w:right w:w="120" w:type="dxa"/>
            </w:tcMar>
          </w:tcPr>
          <w:p>
            <w:r>
              <w:rPr>
                <w:rFonts w:ascii="Segoe UI" w:hAnsi="Segoe UI"/>
                <w:sz w:val="18"/>
              </w:rPr>
              <w:t xml:space="preserve">   Finance Costs</w:t>
            </w:r>
          </w:p>
        </w:tc>
        <w:tc>
          <w:tcPr>
            <w:tcW w:type="dxa" w:w="2437"/>
            <w:tcMar>
              <w:top w:w="80" w:type="dxa"/>
              <w:bottom w:w="80" w:type="dxa"/>
              <w:left w:w="120" w:type="dxa"/>
              <w:right w:w="120" w:type="dxa"/>
            </w:tcMar>
          </w:tcPr>
          <w:p>
            <w:r>
              <w:rPr>
                <w:rFonts w:ascii="Segoe UI" w:hAnsi="Segoe UI"/>
                <w:sz w:val="18"/>
              </w:rPr>
              <w:t>7.3</w:t>
            </w:r>
          </w:p>
        </w:tc>
        <w:tc>
          <w:tcPr>
            <w:tcW w:type="dxa" w:w="2437"/>
            <w:tcMar>
              <w:top w:w="80" w:type="dxa"/>
              <w:bottom w:w="80" w:type="dxa"/>
              <w:left w:w="120" w:type="dxa"/>
              <w:right w:w="120" w:type="dxa"/>
            </w:tcMar>
            <w:shd w:fill="F1F5F9"/>
          </w:tcPr>
          <w:p>
            <w:pPr>
              <w:jc w:val="right"/>
            </w:pPr>
            <w:r>
              <w:rPr>
                <w:rFonts w:ascii="Segoe UI" w:hAnsi="Segoe UI"/>
                <w:sz w:val="18"/>
              </w:rPr>
              <w:t>32.00</w:t>
            </w:r>
          </w:p>
        </w:tc>
        <w:tc>
          <w:tcPr>
            <w:tcW w:type="dxa" w:w="2437"/>
            <w:tcMar>
              <w:top w:w="80" w:type="dxa"/>
              <w:bottom w:w="80" w:type="dxa"/>
              <w:left w:w="120" w:type="dxa"/>
              <w:right w:w="120" w:type="dxa"/>
            </w:tcMar>
            <w:shd w:fill="F1F5F9"/>
          </w:tcPr>
          <w:p>
            <w:pPr>
              <w:jc w:val="right"/>
            </w:pPr>
            <w:r>
              <w:rPr>
                <w:rFonts w:ascii="Segoe UI" w:hAnsi="Segoe UI"/>
                <w:sz w:val="18"/>
              </w:rPr>
              <w:t>38.00</w:t>
            </w:r>
          </w:p>
        </w:tc>
      </w:tr>
      <w:tr>
        <w:tc>
          <w:tcPr>
            <w:tcW w:type="dxa" w:w="2437"/>
            <w:tcMar>
              <w:top w:w="80" w:type="dxa"/>
              <w:bottom w:w="80" w:type="dxa"/>
              <w:left w:w="120" w:type="dxa"/>
              <w:right w:w="120" w:type="dxa"/>
            </w:tcMar>
          </w:tcPr>
          <w:p>
            <w:r>
              <w:rPr>
                <w:rFonts w:ascii="Segoe UI" w:hAnsi="Segoe UI"/>
                <w:sz w:val="18"/>
              </w:rPr>
              <w:t xml:space="preserve">   Depreciation and Amortisation Expense</w:t>
            </w:r>
          </w:p>
        </w:tc>
        <w:tc>
          <w:tcPr>
            <w:tcW w:type="dxa" w:w="2437"/>
            <w:tcMar>
              <w:top w:w="80" w:type="dxa"/>
              <w:bottom w:w="80" w:type="dxa"/>
              <w:left w:w="120" w:type="dxa"/>
              <w:right w:w="120" w:type="dxa"/>
            </w:tcMar>
          </w:tcPr>
          <w:p>
            <w:r>
              <w:rPr>
                <w:rFonts w:ascii="Segoe UI" w:hAnsi="Segoe UI"/>
                <w:sz w:val="18"/>
              </w:rPr>
              <w:t>7.4</w:t>
            </w:r>
          </w:p>
        </w:tc>
        <w:tc>
          <w:tcPr>
            <w:tcW w:type="dxa" w:w="2437"/>
            <w:tcMar>
              <w:top w:w="80" w:type="dxa"/>
              <w:bottom w:w="80" w:type="dxa"/>
              <w:left w:w="120" w:type="dxa"/>
              <w:right w:w="120" w:type="dxa"/>
            </w:tcMar>
            <w:shd w:fill="F1F5F9"/>
          </w:tcPr>
          <w:p>
            <w:pPr>
              <w:jc w:val="right"/>
            </w:pPr>
            <w:r>
              <w:rPr>
                <w:rFonts w:ascii="Segoe UI" w:hAnsi="Segoe UI"/>
                <w:sz w:val="18"/>
              </w:rPr>
              <w:t>28.00</w:t>
            </w:r>
          </w:p>
        </w:tc>
        <w:tc>
          <w:tcPr>
            <w:tcW w:type="dxa" w:w="2437"/>
            <w:tcMar>
              <w:top w:w="80" w:type="dxa"/>
              <w:bottom w:w="80" w:type="dxa"/>
              <w:left w:w="120" w:type="dxa"/>
              <w:right w:w="120" w:type="dxa"/>
            </w:tcMar>
            <w:shd w:fill="F1F5F9"/>
          </w:tcPr>
          <w:p>
            <w:pPr>
              <w:jc w:val="right"/>
            </w:pPr>
            <w:r>
              <w:rPr>
                <w:rFonts w:ascii="Segoe UI" w:hAnsi="Segoe UI"/>
                <w:sz w:val="18"/>
              </w:rPr>
              <w:t>25.00</w:t>
            </w:r>
          </w:p>
        </w:tc>
      </w:tr>
      <w:tr>
        <w:tc>
          <w:tcPr>
            <w:tcW w:type="dxa" w:w="2437"/>
            <w:tcMar>
              <w:top w:w="80" w:type="dxa"/>
              <w:bottom w:w="80" w:type="dxa"/>
              <w:left w:w="120" w:type="dxa"/>
              <w:right w:w="120" w:type="dxa"/>
            </w:tcMar>
          </w:tcPr>
          <w:p>
            <w:r>
              <w:rPr>
                <w:rFonts w:ascii="Segoe UI" w:hAnsi="Segoe UI"/>
                <w:sz w:val="18"/>
              </w:rPr>
              <w:t xml:space="preserve">   Other Expenses</w:t>
            </w:r>
          </w:p>
        </w:tc>
        <w:tc>
          <w:tcPr>
            <w:tcW w:type="dxa" w:w="2437"/>
            <w:tcMar>
              <w:top w:w="80" w:type="dxa"/>
              <w:bottom w:w="80" w:type="dxa"/>
              <w:left w:w="120" w:type="dxa"/>
              <w:right w:w="120" w:type="dxa"/>
            </w:tcMar>
          </w:tcPr>
          <w:p>
            <w:r>
              <w:rPr>
                <w:rFonts w:ascii="Segoe UI" w:hAnsi="Segoe UI"/>
                <w:sz w:val="18"/>
              </w:rPr>
              <w:t>7.5</w:t>
            </w:r>
          </w:p>
        </w:tc>
        <w:tc>
          <w:tcPr>
            <w:tcW w:type="dxa" w:w="2437"/>
            <w:tcMar>
              <w:top w:w="80" w:type="dxa"/>
              <w:bottom w:w="80" w:type="dxa"/>
              <w:left w:w="120" w:type="dxa"/>
              <w:right w:w="120" w:type="dxa"/>
            </w:tcMar>
            <w:shd w:fill="F1F5F9"/>
          </w:tcPr>
          <w:p>
            <w:pPr>
              <w:jc w:val="right"/>
            </w:pPr>
            <w:r>
              <w:rPr>
                <w:rFonts w:ascii="Segoe UI" w:hAnsi="Segoe UI"/>
                <w:sz w:val="18"/>
              </w:rPr>
              <w:t>45.00</w:t>
            </w:r>
          </w:p>
        </w:tc>
        <w:tc>
          <w:tcPr>
            <w:tcW w:type="dxa" w:w="2437"/>
            <w:tcMar>
              <w:top w:w="80" w:type="dxa"/>
              <w:bottom w:w="80" w:type="dxa"/>
              <w:left w:w="120" w:type="dxa"/>
              <w:right w:w="120" w:type="dxa"/>
            </w:tcMar>
            <w:shd w:fill="F1F5F9"/>
          </w:tcPr>
          <w:p>
            <w:pPr>
              <w:jc w:val="right"/>
            </w:pPr>
            <w:r>
              <w:rPr>
                <w:rFonts w:ascii="Segoe UI" w:hAnsi="Segoe UI"/>
                <w:sz w:val="18"/>
              </w:rPr>
              <w:t>32.00</w:t>
            </w:r>
          </w:p>
        </w:tc>
      </w:tr>
      <w:tr>
        <w:tc>
          <w:tcPr>
            <w:tcW w:type="dxa" w:w="2437"/>
            <w:tcMar>
              <w:top w:w="80" w:type="dxa"/>
              <w:bottom w:w="80" w:type="dxa"/>
              <w:left w:w="120" w:type="dxa"/>
              <w:right w:w="120" w:type="dxa"/>
            </w:tcMar>
          </w:tcPr>
          <w:p>
            <w:r>
              <w:rPr>
                <w:rFonts w:ascii="Segoe UI" w:hAnsi="Segoe UI"/>
                <w:sz w:val="18"/>
              </w:rPr>
              <w:t>Total Expenses (IV)</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665.00</w:t>
            </w:r>
          </w:p>
        </w:tc>
        <w:tc>
          <w:tcPr>
            <w:tcW w:type="dxa" w:w="2437"/>
            <w:tcMar>
              <w:top w:w="80" w:type="dxa"/>
              <w:bottom w:w="80" w:type="dxa"/>
              <w:left w:w="120" w:type="dxa"/>
              <w:right w:w="120" w:type="dxa"/>
            </w:tcMar>
            <w:shd w:fill="F1F5F9"/>
          </w:tcPr>
          <w:p>
            <w:pPr>
              <w:jc w:val="right"/>
            </w:pPr>
            <w:r>
              <w:rPr>
                <w:rFonts w:ascii="Segoe UI" w:hAnsi="Segoe UI"/>
                <w:sz w:val="18"/>
              </w:rPr>
              <w:t>565.00</w:t>
            </w:r>
          </w:p>
        </w:tc>
      </w:tr>
      <w:tr>
        <w:tc>
          <w:tcPr>
            <w:tcW w:type="dxa" w:w="2437"/>
            <w:tcMar>
              <w:top w:w="80" w:type="dxa"/>
              <w:bottom w:w="80" w:type="dxa"/>
              <w:left w:w="120" w:type="dxa"/>
              <w:right w:w="120" w:type="dxa"/>
            </w:tcMar>
          </w:tcPr>
          <w:p>
            <w:r>
              <w:rPr>
                <w:rFonts w:ascii="Segoe UI" w:hAnsi="Segoe UI"/>
                <w:sz w:val="18"/>
              </w:rPr>
              <w:t>V. Profit Before Tax (III - IV)</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200.00</w:t>
            </w:r>
          </w:p>
        </w:tc>
        <w:tc>
          <w:tcPr>
            <w:tcW w:type="dxa" w:w="2437"/>
            <w:tcMar>
              <w:top w:w="80" w:type="dxa"/>
              <w:bottom w:w="80" w:type="dxa"/>
              <w:left w:w="120" w:type="dxa"/>
              <w:right w:w="120" w:type="dxa"/>
            </w:tcMar>
            <w:shd w:fill="F1F5F9"/>
          </w:tcPr>
          <w:p>
            <w:pPr>
              <w:jc w:val="right"/>
            </w:pPr>
            <w:r>
              <w:rPr>
                <w:rFonts w:ascii="Segoe UI" w:hAnsi="Segoe UI"/>
                <w:sz w:val="18"/>
              </w:rPr>
              <w:t>145.00</w:t>
            </w:r>
          </w:p>
        </w:tc>
      </w:tr>
      <w:tr>
        <w:tc>
          <w:tcPr>
            <w:tcW w:type="dxa" w:w="2437"/>
            <w:tcMar>
              <w:top w:w="80" w:type="dxa"/>
              <w:bottom w:w="80" w:type="dxa"/>
              <w:left w:w="120" w:type="dxa"/>
              <w:right w:w="120" w:type="dxa"/>
            </w:tcMar>
          </w:tcPr>
          <w:p>
            <w:r>
              <w:rPr>
                <w:rFonts w:ascii="Segoe UI" w:hAnsi="Segoe UI"/>
                <w:sz w:val="18"/>
              </w:rPr>
              <w:t>VI. Tax Expense</w:t>
            </w:r>
          </w:p>
        </w:tc>
        <w:tc>
          <w:tcPr>
            <w:tcW w:type="dxa" w:w="2437"/>
            <w:tcMar>
              <w:top w:w="80" w:type="dxa"/>
              <w:bottom w:w="80" w:type="dxa"/>
              <w:left w:w="120" w:type="dxa"/>
              <w:right w:w="120" w:type="dxa"/>
            </w:tcMar>
          </w:tcPr>
          <w:p>
            <w:r>
              <w:rPr>
                <w:rFonts w:ascii="Segoe UI" w:hAnsi="Segoe UI"/>
                <w:sz w:val="18"/>
              </w:rPr>
              <w:t>7.6</w:t>
            </w:r>
          </w:p>
        </w:tc>
        <w:tc>
          <w:tcPr>
            <w:tcW w:type="dxa" w:w="2437"/>
            <w:tcMar>
              <w:top w:w="80" w:type="dxa"/>
              <w:bottom w:w="80" w:type="dxa"/>
              <w:left w:w="120" w:type="dxa"/>
              <w:right w:w="120" w:type="dxa"/>
            </w:tcMar>
            <w:shd w:fill="F1F5F9"/>
          </w:tcPr>
          <w:p>
            <w:pPr>
              <w:jc w:val="right"/>
            </w:pPr>
            <w:r>
              <w:rPr>
                <w:rFonts w:ascii="Segoe UI" w:hAnsi="Segoe UI"/>
                <w:sz w:val="18"/>
              </w:rPr>
              <w:t>-40.00</w:t>
            </w:r>
          </w:p>
        </w:tc>
        <w:tc>
          <w:tcPr>
            <w:tcW w:type="dxa" w:w="2437"/>
            <w:tcMar>
              <w:top w:w="80" w:type="dxa"/>
              <w:bottom w:w="80" w:type="dxa"/>
              <w:left w:w="120" w:type="dxa"/>
              <w:right w:w="120" w:type="dxa"/>
            </w:tcMar>
            <w:shd w:fill="F1F5F9"/>
          </w:tcPr>
          <w:p>
            <w:pPr>
              <w:jc w:val="right"/>
            </w:pPr>
            <w:r>
              <w:rPr>
                <w:rFonts w:ascii="Segoe UI" w:hAnsi="Segoe UI"/>
                <w:sz w:val="18"/>
              </w:rPr>
              <w:t>-30.00</w:t>
            </w:r>
          </w:p>
        </w:tc>
      </w:tr>
      <w:tr>
        <w:tc>
          <w:tcPr>
            <w:tcW w:type="dxa" w:w="2437"/>
            <w:tcMar>
              <w:top w:w="80" w:type="dxa"/>
              <w:bottom w:w="80" w:type="dxa"/>
              <w:left w:w="120" w:type="dxa"/>
              <w:right w:w="120" w:type="dxa"/>
            </w:tcMar>
          </w:tcPr>
          <w:p>
            <w:r>
              <w:rPr>
                <w:rFonts w:ascii="Segoe UI" w:hAnsi="Segoe UI"/>
                <w:sz w:val="18"/>
              </w:rPr>
              <w:t>VII. Profit After Tax (V - VI)</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240.00</w:t>
            </w:r>
          </w:p>
        </w:tc>
        <w:tc>
          <w:tcPr>
            <w:tcW w:type="dxa" w:w="2437"/>
            <w:tcMar>
              <w:top w:w="80" w:type="dxa"/>
              <w:bottom w:w="80" w:type="dxa"/>
              <w:left w:w="120" w:type="dxa"/>
              <w:right w:w="120" w:type="dxa"/>
            </w:tcMar>
            <w:shd w:fill="F1F5F9"/>
          </w:tcPr>
          <w:p>
            <w:pPr>
              <w:jc w:val="right"/>
            </w:pPr>
            <w:r>
              <w:rPr>
                <w:rFonts w:ascii="Segoe UI" w:hAnsi="Segoe UI"/>
                <w:sz w:val="18"/>
              </w:rPr>
              <w:t>175.00</w:t>
            </w:r>
          </w:p>
        </w:tc>
      </w:tr>
    </w:tbl>
    <w:p>
      <w:r>
        <w:br w:type="page"/>
      </w:r>
    </w:p>
    <w:p>
      <w:pPr>
        <w:keepNext/>
        <w:spacing w:before="280" w:after="120"/>
      </w:pPr>
      <w:r>
        <w:rPr>
          <w:rFonts w:ascii="Segoe UI" w:hAnsi="Segoe UI"/>
          <w:b/>
          <w:color w:val="1B365D"/>
          <w:sz w:val="26"/>
        </w:rPr>
        <w:t>AS 3 CASH FLOW STATEMENT (INDIRECT METHOD)</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Current Year (CY)</w:t>
            </w:r>
          </w:p>
        </w:tc>
        <w:tc>
          <w:tcPr>
            <w:tcW w:type="dxa" w:w="3250"/>
            <w:shd w:fill="1B365D"/>
            <w:tcMar>
              <w:top w:w="120" w:type="dxa"/>
              <w:bottom w:w="120" w:type="dxa"/>
              <w:left w:w="150" w:type="dxa"/>
              <w:right w:w="150" w:type="dxa"/>
            </w:tcMar>
          </w:tcPr>
          <w:p>
            <w:pPr>
              <w:jc w:val="center"/>
            </w:pPr>
            <w:r>
              <w:t>Previous Year (PY)</w:t>
            </w:r>
          </w:p>
        </w:tc>
      </w:tr>
      <w:tr>
        <w:tc>
          <w:tcPr>
            <w:tcW w:type="dxa" w:w="3250"/>
            <w:tcMar>
              <w:top w:w="80" w:type="dxa"/>
              <w:bottom w:w="80" w:type="dxa"/>
              <w:left w:w="120" w:type="dxa"/>
              <w:right w:w="120" w:type="dxa"/>
            </w:tcMar>
          </w:tcPr>
          <w:p>
            <w:r>
              <w:rPr>
                <w:rFonts w:ascii="Segoe UI" w:hAnsi="Segoe UI"/>
                <w:sz w:val="18"/>
              </w:rPr>
              <w:t>A. CASH FLOW FROM OPERATING ACTIVITIES</w:t>
            </w:r>
          </w:p>
        </w:tc>
        <w:tc>
          <w:tcPr>
            <w:tcW w:type="dxa" w:w="3250"/>
            <w:tcMar>
              <w:top w:w="80" w:type="dxa"/>
              <w:bottom w:w="80" w:type="dxa"/>
              <w:left w:w="120" w:type="dxa"/>
              <w:right w:w="120" w:type="dxa"/>
            </w:tcMar>
            <w:shd w:fill="F1F5F9"/>
          </w:tcPr>
          <w:p>
            <w:pPr>
              <w:jc w:val="right"/>
            </w:pPr>
            <w:r>
              <w:rPr>
                <w:rFonts w:ascii="Segoe UI" w:hAnsi="Segoe UI"/>
                <w:sz w:val="18"/>
              </w:rPr>
            </w:r>
          </w:p>
        </w:tc>
        <w:tc>
          <w:tcPr>
            <w:tcW w:type="dxa" w:w="3250"/>
            <w:tcMar>
              <w:top w:w="80" w:type="dxa"/>
              <w:bottom w:w="80" w:type="dxa"/>
              <w:left w:w="120" w:type="dxa"/>
              <w:right w:w="120" w:type="dxa"/>
            </w:tcMar>
            <w:shd w:fill="F1F5F9"/>
          </w:tcPr>
          <w:p>
            <w:pPr>
              <w:jc w:val="right"/>
            </w:pPr>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Net Profit Before Tax</w:t>
            </w:r>
          </w:p>
        </w:tc>
        <w:tc>
          <w:tcPr>
            <w:tcW w:type="dxa" w:w="3250"/>
            <w:tcMar>
              <w:top w:w="80" w:type="dxa"/>
              <w:bottom w:w="80" w:type="dxa"/>
              <w:left w:w="120" w:type="dxa"/>
              <w:right w:w="120" w:type="dxa"/>
            </w:tcMar>
            <w:shd w:fill="F1F5F9"/>
          </w:tcPr>
          <w:p>
            <w:pPr>
              <w:jc w:val="right"/>
            </w:pPr>
            <w:r>
              <w:rPr>
                <w:rFonts w:ascii="Segoe UI" w:hAnsi="Segoe UI"/>
                <w:sz w:val="18"/>
              </w:rPr>
              <w:t>200.00</w:t>
            </w:r>
          </w:p>
        </w:tc>
        <w:tc>
          <w:tcPr>
            <w:tcW w:type="dxa" w:w="3250"/>
            <w:tcMar>
              <w:top w:w="80" w:type="dxa"/>
              <w:bottom w:w="80" w:type="dxa"/>
              <w:left w:w="120" w:type="dxa"/>
              <w:right w:w="120" w:type="dxa"/>
            </w:tcMar>
            <w:shd w:fill="F1F5F9"/>
          </w:tcPr>
          <w:p>
            <w:pPr>
              <w:jc w:val="right"/>
            </w:pPr>
            <w:r>
              <w:rPr>
                <w:rFonts w:ascii="Segoe UI" w:hAnsi="Segoe UI"/>
                <w:sz w:val="18"/>
              </w:rPr>
              <w:t>145.00</w:t>
            </w:r>
          </w:p>
        </w:tc>
      </w:tr>
      <w:tr>
        <w:tc>
          <w:tcPr>
            <w:tcW w:type="dxa" w:w="3250"/>
            <w:tcMar>
              <w:top w:w="80" w:type="dxa"/>
              <w:bottom w:w="80" w:type="dxa"/>
              <w:left w:w="120" w:type="dxa"/>
              <w:right w:w="120" w:type="dxa"/>
            </w:tcMar>
          </w:tcPr>
          <w:p>
            <w:r>
              <w:rPr>
                <w:rFonts w:ascii="Segoe UI" w:hAnsi="Segoe UI"/>
                <w:sz w:val="18"/>
              </w:rPr>
              <w:t>Non-Cash Adjustments:</w:t>
            </w:r>
          </w:p>
        </w:tc>
        <w:tc>
          <w:tcPr>
            <w:tcW w:type="dxa" w:w="3250"/>
            <w:tcMar>
              <w:top w:w="80" w:type="dxa"/>
              <w:bottom w:w="80" w:type="dxa"/>
              <w:left w:w="120" w:type="dxa"/>
              <w:right w:w="120" w:type="dxa"/>
            </w:tcMar>
            <w:shd w:fill="F1F5F9"/>
          </w:tcPr>
          <w:p>
            <w:pPr>
              <w:jc w:val="right"/>
            </w:pPr>
            <w:r>
              <w:rPr>
                <w:rFonts w:ascii="Segoe UI" w:hAnsi="Segoe UI"/>
                <w:sz w:val="18"/>
              </w:rPr>
            </w:r>
          </w:p>
        </w:tc>
        <w:tc>
          <w:tcPr>
            <w:tcW w:type="dxa" w:w="3250"/>
            <w:tcMar>
              <w:top w:w="80" w:type="dxa"/>
              <w:bottom w:w="80" w:type="dxa"/>
              <w:left w:w="120" w:type="dxa"/>
              <w:right w:w="120" w:type="dxa"/>
            </w:tcMar>
            <w:shd w:fill="F1F5F9"/>
          </w:tcPr>
          <w:p>
            <w:pPr>
              <w:jc w:val="right"/>
            </w:pPr>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Add: Depreciation and Amortisation</w:t>
            </w:r>
          </w:p>
        </w:tc>
        <w:tc>
          <w:tcPr>
            <w:tcW w:type="dxa" w:w="3250"/>
            <w:tcMar>
              <w:top w:w="80" w:type="dxa"/>
              <w:bottom w:w="80" w:type="dxa"/>
              <w:left w:w="120" w:type="dxa"/>
              <w:right w:w="120" w:type="dxa"/>
            </w:tcMar>
            <w:shd w:fill="F1F5F9"/>
          </w:tcPr>
          <w:p>
            <w:pPr>
              <w:jc w:val="right"/>
            </w:pPr>
            <w:r>
              <w:rPr>
                <w:rFonts w:ascii="Segoe UI" w:hAnsi="Segoe UI"/>
                <w:sz w:val="18"/>
              </w:rPr>
              <w:t>28.00</w:t>
            </w:r>
          </w:p>
        </w:tc>
        <w:tc>
          <w:tcPr>
            <w:tcW w:type="dxa" w:w="3250"/>
            <w:tcMar>
              <w:top w:w="80" w:type="dxa"/>
              <w:bottom w:w="80" w:type="dxa"/>
              <w:left w:w="120" w:type="dxa"/>
              <w:right w:w="120" w:type="dxa"/>
            </w:tcMar>
            <w:shd w:fill="F1F5F9"/>
          </w:tcPr>
          <w:p>
            <w:pPr>
              <w:jc w:val="right"/>
            </w:pPr>
            <w:r>
              <w:rPr>
                <w:rFonts w:ascii="Segoe UI" w:hAnsi="Segoe UI"/>
                <w:sz w:val="18"/>
              </w:rPr>
              <w:t>25.00</w:t>
            </w:r>
          </w:p>
        </w:tc>
      </w:tr>
      <w:tr>
        <w:tc>
          <w:tcPr>
            <w:tcW w:type="dxa" w:w="3250"/>
            <w:tcMar>
              <w:top w:w="80" w:type="dxa"/>
              <w:bottom w:w="80" w:type="dxa"/>
              <w:left w:w="120" w:type="dxa"/>
              <w:right w:w="120" w:type="dxa"/>
            </w:tcMar>
          </w:tcPr>
          <w:p>
            <w:r>
              <w:rPr>
                <w:rFonts w:ascii="Segoe UI" w:hAnsi="Segoe UI"/>
                <w:sz w:val="18"/>
              </w:rPr>
              <w:t xml:space="preserve">  Add: Finance Costs (reclassified to Financing)</w:t>
            </w:r>
          </w:p>
        </w:tc>
        <w:tc>
          <w:tcPr>
            <w:tcW w:type="dxa" w:w="3250"/>
            <w:tcMar>
              <w:top w:w="80" w:type="dxa"/>
              <w:bottom w:w="80" w:type="dxa"/>
              <w:left w:w="120" w:type="dxa"/>
              <w:right w:w="120" w:type="dxa"/>
            </w:tcMar>
            <w:shd w:fill="F1F5F9"/>
          </w:tcPr>
          <w:p>
            <w:pPr>
              <w:jc w:val="right"/>
            </w:pPr>
            <w:r>
              <w:rPr>
                <w:rFonts w:ascii="Segoe UI" w:hAnsi="Segoe UI"/>
                <w:sz w:val="18"/>
              </w:rPr>
              <w:t>32.00</w:t>
            </w:r>
          </w:p>
        </w:tc>
        <w:tc>
          <w:tcPr>
            <w:tcW w:type="dxa" w:w="3250"/>
            <w:tcMar>
              <w:top w:w="80" w:type="dxa"/>
              <w:bottom w:w="80" w:type="dxa"/>
              <w:left w:w="120" w:type="dxa"/>
              <w:right w:w="120" w:type="dxa"/>
            </w:tcMar>
            <w:shd w:fill="F1F5F9"/>
          </w:tcPr>
          <w:p>
            <w:pPr>
              <w:jc w:val="right"/>
            </w:pPr>
            <w:r>
              <w:rPr>
                <w:rFonts w:ascii="Segoe UI" w:hAnsi="Segoe UI"/>
                <w:sz w:val="18"/>
              </w:rPr>
              <w:t>38.00</w:t>
            </w:r>
          </w:p>
        </w:tc>
      </w:tr>
      <w:tr>
        <w:tc>
          <w:tcPr>
            <w:tcW w:type="dxa" w:w="3250"/>
            <w:tcMar>
              <w:top w:w="80" w:type="dxa"/>
              <w:bottom w:w="80" w:type="dxa"/>
              <w:left w:w="120" w:type="dxa"/>
              <w:right w:w="120" w:type="dxa"/>
            </w:tcMar>
          </w:tcPr>
          <w:p>
            <w:r>
              <w:rPr>
                <w:rFonts w:ascii="Segoe UI" w:hAnsi="Segoe UI"/>
                <w:sz w:val="18"/>
              </w:rPr>
              <w:t>Non-Operating Adjustments:</w:t>
            </w:r>
          </w:p>
        </w:tc>
        <w:tc>
          <w:tcPr>
            <w:tcW w:type="dxa" w:w="3250"/>
            <w:tcMar>
              <w:top w:w="80" w:type="dxa"/>
              <w:bottom w:w="80" w:type="dxa"/>
              <w:left w:w="120" w:type="dxa"/>
              <w:right w:w="120" w:type="dxa"/>
            </w:tcMar>
            <w:shd w:fill="F1F5F9"/>
          </w:tcPr>
          <w:p>
            <w:pPr>
              <w:jc w:val="right"/>
            </w:pPr>
            <w:r>
              <w:rPr>
                <w:rFonts w:ascii="Segoe UI" w:hAnsi="Segoe UI"/>
                <w:sz w:val="18"/>
              </w:rPr>
            </w:r>
          </w:p>
        </w:tc>
        <w:tc>
          <w:tcPr>
            <w:tcW w:type="dxa" w:w="3250"/>
            <w:tcMar>
              <w:top w:w="80" w:type="dxa"/>
              <w:bottom w:w="80" w:type="dxa"/>
              <w:left w:w="120" w:type="dxa"/>
              <w:right w:w="120" w:type="dxa"/>
            </w:tcMar>
            <w:shd w:fill="F1F5F9"/>
          </w:tcPr>
          <w:p>
            <w:pPr>
              <w:jc w:val="right"/>
            </w:pPr>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Less: Interest and Dividend Income (reclassified to Investing)</w:t>
            </w:r>
          </w:p>
        </w:tc>
        <w:tc>
          <w:tcPr>
            <w:tcW w:type="dxa" w:w="3250"/>
            <w:tcMar>
              <w:top w:w="80" w:type="dxa"/>
              <w:bottom w:w="80" w:type="dxa"/>
              <w:left w:w="120" w:type="dxa"/>
              <w:right w:w="120" w:type="dxa"/>
            </w:tcMar>
            <w:shd w:fill="F1F5F9"/>
          </w:tcPr>
          <w:p>
            <w:pPr>
              <w:jc w:val="right"/>
            </w:pPr>
            <w:r>
              <w:rPr>
                <w:rFonts w:ascii="Segoe UI" w:hAnsi="Segoe UI"/>
                <w:sz w:val="18"/>
              </w:rPr>
              <w:t>-15.00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Less: Profit on Sale of PPE (reclassified to Investing)</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Add: Loss on Sale of PPE</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Operating Profit before Working Capital Changes</w:t>
            </w:r>
          </w:p>
        </w:tc>
        <w:tc>
          <w:tcPr>
            <w:tcW w:type="dxa" w:w="3250"/>
            <w:tcMar>
              <w:top w:w="80" w:type="dxa"/>
              <w:bottom w:w="80" w:type="dxa"/>
              <w:left w:w="120" w:type="dxa"/>
              <w:right w:w="120" w:type="dxa"/>
            </w:tcMar>
            <w:shd w:fill="F1F5F9"/>
          </w:tcPr>
          <w:p>
            <w:pPr>
              <w:jc w:val="right"/>
            </w:pPr>
            <w:r>
              <w:rPr>
                <w:rFonts w:ascii="Segoe UI" w:hAnsi="Segoe UI"/>
                <w:sz w:val="18"/>
              </w:rPr>
              <w:t>245.00</w:t>
            </w:r>
          </w:p>
        </w:tc>
        <w:tc>
          <w:tcPr>
            <w:tcW w:type="dxa" w:w="3250"/>
            <w:tcMar>
              <w:top w:w="80" w:type="dxa"/>
              <w:bottom w:w="80" w:type="dxa"/>
              <w:left w:w="120" w:type="dxa"/>
              <w:right w:w="120" w:type="dxa"/>
            </w:tcMar>
            <w:shd w:fill="F1F5F9"/>
          </w:tcPr>
          <w:p>
            <w:pPr>
              <w:jc w:val="right"/>
            </w:pPr>
            <w:r>
              <w:rPr>
                <w:rFonts w:ascii="Segoe UI" w:hAnsi="Segoe UI"/>
                <w:sz w:val="18"/>
              </w:rPr>
              <w:t>208.00</w:t>
            </w:r>
          </w:p>
        </w:tc>
      </w:tr>
      <w:tr>
        <w:tc>
          <w:tcPr>
            <w:tcW w:type="dxa" w:w="3250"/>
            <w:tcMar>
              <w:top w:w="80" w:type="dxa"/>
              <w:bottom w:w="80" w:type="dxa"/>
              <w:left w:w="120" w:type="dxa"/>
              <w:right w:w="120" w:type="dxa"/>
            </w:tcMar>
          </w:tcPr>
          <w:p>
            <w:r>
              <w:rPr>
                <w:rFonts w:ascii="Segoe UI" w:hAnsi="Segoe UI"/>
                <w:sz w:val="18"/>
              </w:rPr>
              <w:t>Working Capital Changes:</w:t>
            </w:r>
          </w:p>
        </w:tc>
        <w:tc>
          <w:tcPr>
            <w:tcW w:type="dxa" w:w="3250"/>
            <w:tcMar>
              <w:top w:w="80" w:type="dxa"/>
              <w:bottom w:w="80" w:type="dxa"/>
              <w:left w:w="120" w:type="dxa"/>
              <w:right w:w="120" w:type="dxa"/>
            </w:tcMar>
            <w:shd w:fill="F1F5F9"/>
          </w:tcPr>
          <w:p>
            <w:pPr>
              <w:jc w:val="right"/>
            </w:pPr>
            <w:r>
              <w:rPr>
                <w:rFonts w:ascii="Segoe UI" w:hAnsi="Segoe UI"/>
                <w:sz w:val="18"/>
              </w:rPr>
            </w:r>
          </w:p>
        </w:tc>
        <w:tc>
          <w:tcPr>
            <w:tcW w:type="dxa" w:w="3250"/>
            <w:tcMar>
              <w:top w:w="80" w:type="dxa"/>
              <w:bottom w:w="80" w:type="dxa"/>
              <w:left w:w="120" w:type="dxa"/>
              <w:right w:w="120" w:type="dxa"/>
            </w:tcMar>
            <w:shd w:fill="F1F5F9"/>
          </w:tcPr>
          <w:p>
            <w:pPr>
              <w:jc w:val="right"/>
            </w:pPr>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(Increase) / Decrease in Inventories</w:t>
            </w:r>
          </w:p>
        </w:tc>
        <w:tc>
          <w:tcPr>
            <w:tcW w:type="dxa" w:w="3250"/>
            <w:tcMar>
              <w:top w:w="80" w:type="dxa"/>
              <w:bottom w:w="80" w:type="dxa"/>
              <w:left w:w="120" w:type="dxa"/>
              <w:right w:w="120" w:type="dxa"/>
            </w:tcMar>
            <w:shd w:fill="F1F5F9"/>
          </w:tcPr>
          <w:p>
            <w:pPr>
              <w:jc w:val="right"/>
            </w:pPr>
            <w:r>
              <w:rPr>
                <w:rFonts w:ascii="Segoe UI" w:hAnsi="Segoe UI"/>
                <w:sz w:val="18"/>
              </w:rPr>
              <w:t>-25.00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(Increase) / Decrease in Trade Receivables</w:t>
            </w:r>
          </w:p>
        </w:tc>
        <w:tc>
          <w:tcPr>
            <w:tcW w:type="dxa" w:w="3250"/>
            <w:tcMar>
              <w:top w:w="80" w:type="dxa"/>
              <w:bottom w:w="80" w:type="dxa"/>
              <w:left w:w="120" w:type="dxa"/>
              <w:right w:w="120" w:type="dxa"/>
            </w:tcMar>
            <w:shd w:fill="F1F5F9"/>
          </w:tcPr>
          <w:p>
            <w:pPr>
              <w:jc w:val="right"/>
            </w:pPr>
            <w:r>
              <w:rPr>
                <w:rFonts w:ascii="Segoe UI" w:hAnsi="Segoe UI"/>
                <w:sz w:val="18"/>
              </w:rPr>
              <w:t>-35.00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Increase / (Decrease) in Trade Payables</w:t>
            </w:r>
          </w:p>
        </w:tc>
        <w:tc>
          <w:tcPr>
            <w:tcW w:type="dxa" w:w="3250"/>
            <w:tcMar>
              <w:top w:w="80" w:type="dxa"/>
              <w:bottom w:w="80" w:type="dxa"/>
              <w:left w:w="120" w:type="dxa"/>
              <w:right w:w="120" w:type="dxa"/>
            </w:tcMar>
            <w:shd w:fill="F1F5F9"/>
          </w:tcPr>
          <w:p>
            <w:pPr>
              <w:jc w:val="right"/>
            </w:pPr>
            <w:r>
              <w:rPr>
                <w:rFonts w:ascii="Segoe UI" w:hAnsi="Segoe UI"/>
                <w:sz w:val="18"/>
              </w:rPr>
              <w:t>40.00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Increase / (Decrease) in Other Current Liabilities</w:t>
            </w:r>
          </w:p>
        </w:tc>
        <w:tc>
          <w:tcPr>
            <w:tcW w:type="dxa" w:w="3250"/>
            <w:tcMar>
              <w:top w:w="80" w:type="dxa"/>
              <w:bottom w:w="80" w:type="dxa"/>
              <w:left w:w="120" w:type="dxa"/>
              <w:right w:w="120" w:type="dxa"/>
            </w:tcMar>
            <w:shd w:fill="F1F5F9"/>
          </w:tcPr>
          <w:p>
            <w:pPr>
              <w:jc w:val="right"/>
            </w:pPr>
            <w:r>
              <w:rPr>
                <w:rFonts w:ascii="Segoe UI" w:hAnsi="Segoe UI"/>
                <w:sz w:val="18"/>
              </w:rPr>
              <w:t>5.00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Increase / (Decrease) in Short-term Provisions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Cash Generated from Operations</w:t>
            </w:r>
          </w:p>
        </w:tc>
        <w:tc>
          <w:tcPr>
            <w:tcW w:type="dxa" w:w="3250"/>
            <w:tcMar>
              <w:top w:w="80" w:type="dxa"/>
              <w:bottom w:w="80" w:type="dxa"/>
              <w:left w:w="120" w:type="dxa"/>
              <w:right w:w="120" w:type="dxa"/>
            </w:tcMar>
            <w:shd w:fill="F1F5F9"/>
          </w:tcPr>
          <w:p>
            <w:pPr>
              <w:jc w:val="right"/>
            </w:pPr>
            <w:r>
              <w:rPr>
                <w:rFonts w:ascii="Segoe UI" w:hAnsi="Segoe UI"/>
                <w:sz w:val="18"/>
              </w:rPr>
              <w:t>230.00</w:t>
            </w:r>
          </w:p>
        </w:tc>
        <w:tc>
          <w:tcPr>
            <w:tcW w:type="dxa" w:w="3250"/>
            <w:tcMar>
              <w:top w:w="80" w:type="dxa"/>
              <w:bottom w:w="80" w:type="dxa"/>
              <w:left w:w="120" w:type="dxa"/>
              <w:right w:w="120" w:type="dxa"/>
            </w:tcMar>
            <w:shd w:fill="F1F5F9"/>
          </w:tcPr>
          <w:p>
            <w:pPr>
              <w:jc w:val="right"/>
            </w:pPr>
            <w:r>
              <w:rPr>
                <w:rFonts w:ascii="Segoe UI" w:hAnsi="Segoe UI"/>
                <w:sz w:val="18"/>
              </w:rPr>
              <w:t>208.00</w:t>
            </w:r>
          </w:p>
        </w:tc>
      </w:tr>
      <w:tr>
        <w:tc>
          <w:tcPr>
            <w:tcW w:type="dxa" w:w="3250"/>
            <w:tcMar>
              <w:top w:w="80" w:type="dxa"/>
              <w:bottom w:w="80" w:type="dxa"/>
              <w:left w:w="120" w:type="dxa"/>
              <w:right w:w="120" w:type="dxa"/>
            </w:tcMar>
          </w:tcPr>
          <w:p>
            <w:r>
              <w:rPr>
                <w:rFonts w:ascii="Segoe UI" w:hAnsi="Segoe UI"/>
                <w:sz w:val="18"/>
              </w:rPr>
              <w:t>Less: Income Taxes Paid</w:t>
            </w:r>
          </w:p>
        </w:tc>
        <w:tc>
          <w:tcPr>
            <w:tcW w:type="dxa" w:w="3250"/>
            <w:tcMar>
              <w:top w:w="80" w:type="dxa"/>
              <w:bottom w:w="80" w:type="dxa"/>
              <w:left w:w="120" w:type="dxa"/>
              <w:right w:w="120" w:type="dxa"/>
            </w:tcMar>
            <w:shd w:fill="F1F5F9"/>
          </w:tcPr>
          <w:p>
            <w:pPr>
              <w:jc w:val="right"/>
            </w:pPr>
            <w:r>
              <w:rPr>
                <w:rFonts w:ascii="Segoe UI" w:hAnsi="Segoe UI"/>
                <w:sz w:val="18"/>
              </w:rPr>
              <w:t>-40.00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Net Cash Flow from Operating Activities (A)</w:t>
            </w:r>
          </w:p>
        </w:tc>
        <w:tc>
          <w:tcPr>
            <w:tcW w:type="dxa" w:w="3250"/>
            <w:tcMar>
              <w:top w:w="80" w:type="dxa"/>
              <w:bottom w:w="80" w:type="dxa"/>
              <w:left w:w="120" w:type="dxa"/>
              <w:right w:w="120" w:type="dxa"/>
            </w:tcMar>
            <w:shd w:fill="F1F5F9"/>
          </w:tcPr>
          <w:p>
            <w:pPr>
              <w:jc w:val="right"/>
            </w:pPr>
            <w:r>
              <w:rPr>
                <w:rFonts w:ascii="Segoe UI" w:hAnsi="Segoe UI"/>
                <w:sz w:val="18"/>
              </w:rPr>
              <w:t>190.00</w:t>
            </w:r>
          </w:p>
        </w:tc>
        <w:tc>
          <w:tcPr>
            <w:tcW w:type="dxa" w:w="3250"/>
            <w:tcMar>
              <w:top w:w="80" w:type="dxa"/>
              <w:bottom w:w="80" w:type="dxa"/>
              <w:left w:w="120" w:type="dxa"/>
              <w:right w:w="120" w:type="dxa"/>
            </w:tcMar>
            <w:shd w:fill="F1F5F9"/>
          </w:tcPr>
          <w:p>
            <w:pPr>
              <w:jc w:val="right"/>
            </w:pPr>
            <w:r>
              <w:rPr>
                <w:rFonts w:ascii="Segoe UI" w:hAnsi="Segoe UI"/>
                <w:sz w:val="18"/>
              </w:rPr>
              <w:t>208.00</w:t>
            </w:r>
          </w:p>
        </w:tc>
      </w:tr>
      <w:tr>
        <w:tc>
          <w:tcPr>
            <w:tcW w:type="dxa" w:w="3250"/>
            <w:tcMar>
              <w:top w:w="80" w:type="dxa"/>
              <w:bottom w:w="80" w:type="dxa"/>
              <w:left w:w="120" w:type="dxa"/>
              <w:right w:w="120" w:type="dxa"/>
            </w:tcMar>
          </w:tcPr>
          <w:p>
            <w:r>
              <w:rPr>
                <w:rFonts w:ascii="Segoe UI" w:hAnsi="Segoe UI"/>
                <w:sz w:val="18"/>
              </w:rPr>
              <w:t>B. CASH FLOW FROM INVESTING ACTIVITIES</w:t>
            </w:r>
          </w:p>
        </w:tc>
        <w:tc>
          <w:tcPr>
            <w:tcW w:type="dxa" w:w="3250"/>
            <w:tcMar>
              <w:top w:w="80" w:type="dxa"/>
              <w:bottom w:w="80" w:type="dxa"/>
              <w:left w:w="120" w:type="dxa"/>
              <w:right w:w="120" w:type="dxa"/>
            </w:tcMar>
            <w:shd w:fill="F1F5F9"/>
          </w:tcPr>
          <w:p>
            <w:pPr>
              <w:jc w:val="right"/>
            </w:pPr>
            <w:r>
              <w:rPr>
                <w:rFonts w:ascii="Segoe UI" w:hAnsi="Segoe UI"/>
                <w:sz w:val="18"/>
              </w:rPr>
            </w:r>
          </w:p>
        </w:tc>
        <w:tc>
          <w:tcPr>
            <w:tcW w:type="dxa" w:w="3250"/>
            <w:tcMar>
              <w:top w:w="80" w:type="dxa"/>
              <w:bottom w:w="80" w:type="dxa"/>
              <w:left w:w="120" w:type="dxa"/>
              <w:right w:w="120" w:type="dxa"/>
            </w:tcMar>
            <w:shd w:fill="F1F5F9"/>
          </w:tcPr>
          <w:p>
            <w:pPr>
              <w:jc w:val="right"/>
            </w:pPr>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Additions to PPE and CWIP (Capital Expenditure)</w:t>
            </w:r>
          </w:p>
        </w:tc>
        <w:tc>
          <w:tcPr>
            <w:tcW w:type="dxa" w:w="3250"/>
            <w:tcMar>
              <w:top w:w="80" w:type="dxa"/>
              <w:bottom w:w="80" w:type="dxa"/>
              <w:left w:w="120" w:type="dxa"/>
              <w:right w:w="120" w:type="dxa"/>
            </w:tcMar>
            <w:shd w:fill="F1F5F9"/>
          </w:tcPr>
          <w:p>
            <w:pPr>
              <w:jc w:val="right"/>
            </w:pPr>
            <w:r>
              <w:rPr>
                <w:rFonts w:ascii="Segoe UI" w:hAnsi="Segoe UI"/>
                <w:sz w:val="18"/>
              </w:rPr>
              <w:t>-70.00</w:t>
            </w:r>
          </w:p>
        </w:tc>
        <w:tc>
          <w:tcPr>
            <w:tcW w:type="dxa" w:w="3250"/>
            <w:tcMar>
              <w:top w:w="80" w:type="dxa"/>
              <w:bottom w:w="80" w:type="dxa"/>
              <w:left w:w="120" w:type="dxa"/>
              <w:right w:w="120" w:type="dxa"/>
            </w:tcMar>
            <w:shd w:fill="F1F5F9"/>
          </w:tcPr>
          <w:p>
            <w:pPr>
              <w:jc w:val="right"/>
            </w:pPr>
            <w:r>
              <w:rPr>
                <w:rFonts w:ascii="Segoe UI" w:hAnsi="Segoe UI"/>
                <w:sz w:val="18"/>
              </w:rPr>
              <w:t>-645.00</w:t>
            </w:r>
          </w:p>
        </w:tc>
      </w:tr>
      <w:tr>
        <w:tc>
          <w:tcPr>
            <w:tcW w:type="dxa" w:w="3250"/>
            <w:tcMar>
              <w:top w:w="80" w:type="dxa"/>
              <w:bottom w:w="80" w:type="dxa"/>
              <w:left w:w="120" w:type="dxa"/>
              <w:right w:w="120" w:type="dxa"/>
            </w:tcMar>
          </w:tcPr>
          <w:p>
            <w:r>
              <w:rPr>
                <w:rFonts w:ascii="Segoe UI" w:hAnsi="Segoe UI"/>
                <w:sz w:val="18"/>
              </w:rPr>
              <w:t xml:space="preserve">  Proceeds from Sale of Property, Plant and Equipment</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Interest Received</w:t>
            </w:r>
          </w:p>
        </w:tc>
        <w:tc>
          <w:tcPr>
            <w:tcW w:type="dxa" w:w="3250"/>
            <w:tcMar>
              <w:top w:w="80" w:type="dxa"/>
              <w:bottom w:w="80" w:type="dxa"/>
              <w:left w:w="120" w:type="dxa"/>
              <w:right w:w="120" w:type="dxa"/>
            </w:tcMar>
            <w:shd w:fill="F1F5F9"/>
          </w:tcPr>
          <w:p>
            <w:pPr>
              <w:jc w:val="right"/>
            </w:pPr>
            <w:r>
              <w:rPr>
                <w:rFonts w:ascii="Segoe UI" w:hAnsi="Segoe UI"/>
                <w:sz w:val="18"/>
              </w:rPr>
              <w:t>15.00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Dividend Received</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Net Cash Flow from Investing Activities (B)</w:t>
            </w:r>
          </w:p>
        </w:tc>
        <w:tc>
          <w:tcPr>
            <w:tcW w:type="dxa" w:w="3250"/>
            <w:tcMar>
              <w:top w:w="80" w:type="dxa"/>
              <w:bottom w:w="80" w:type="dxa"/>
              <w:left w:w="120" w:type="dxa"/>
              <w:right w:w="120" w:type="dxa"/>
            </w:tcMar>
            <w:shd w:fill="F1F5F9"/>
          </w:tcPr>
          <w:p>
            <w:pPr>
              <w:jc w:val="right"/>
            </w:pPr>
            <w:r>
              <w:rPr>
                <w:rFonts w:ascii="Segoe UI" w:hAnsi="Segoe UI"/>
                <w:sz w:val="18"/>
              </w:rPr>
              <w:t>-55.00</w:t>
            </w:r>
          </w:p>
        </w:tc>
        <w:tc>
          <w:tcPr>
            <w:tcW w:type="dxa" w:w="3250"/>
            <w:tcMar>
              <w:top w:w="80" w:type="dxa"/>
              <w:bottom w:w="80" w:type="dxa"/>
              <w:left w:w="120" w:type="dxa"/>
              <w:right w:w="120" w:type="dxa"/>
            </w:tcMar>
            <w:shd w:fill="F1F5F9"/>
          </w:tcPr>
          <w:p>
            <w:pPr>
              <w:jc w:val="right"/>
            </w:pPr>
            <w:r>
              <w:rPr>
                <w:rFonts w:ascii="Segoe UI" w:hAnsi="Segoe UI"/>
                <w:sz w:val="18"/>
              </w:rPr>
              <w:t>-645.00</w:t>
            </w:r>
          </w:p>
        </w:tc>
      </w:tr>
      <w:tr>
        <w:tc>
          <w:tcPr>
            <w:tcW w:type="dxa" w:w="3250"/>
            <w:tcMar>
              <w:top w:w="80" w:type="dxa"/>
              <w:bottom w:w="80" w:type="dxa"/>
              <w:left w:w="120" w:type="dxa"/>
              <w:right w:w="120" w:type="dxa"/>
            </w:tcMar>
          </w:tcPr>
          <w:p>
            <w:r>
              <w:rPr>
                <w:rFonts w:ascii="Segoe UI" w:hAnsi="Segoe UI"/>
                <w:sz w:val="18"/>
              </w:rPr>
              <w:t>C. CASH FLOW FROM FINANCING ACTIVITIES</w:t>
            </w:r>
          </w:p>
        </w:tc>
        <w:tc>
          <w:tcPr>
            <w:tcW w:type="dxa" w:w="3250"/>
            <w:tcMar>
              <w:top w:w="80" w:type="dxa"/>
              <w:bottom w:w="80" w:type="dxa"/>
              <w:left w:w="120" w:type="dxa"/>
              <w:right w:w="120" w:type="dxa"/>
            </w:tcMar>
            <w:shd w:fill="F1F5F9"/>
          </w:tcPr>
          <w:p>
            <w:pPr>
              <w:jc w:val="right"/>
            </w:pPr>
            <w:r>
              <w:rPr>
                <w:rFonts w:ascii="Segoe UI" w:hAnsi="Segoe UI"/>
                <w:sz w:val="18"/>
              </w:rPr>
            </w:r>
          </w:p>
        </w:tc>
        <w:tc>
          <w:tcPr>
            <w:tcW w:type="dxa" w:w="3250"/>
            <w:tcMar>
              <w:top w:w="80" w:type="dxa"/>
              <w:bottom w:w="80" w:type="dxa"/>
              <w:left w:w="120" w:type="dxa"/>
              <w:right w:w="120" w:type="dxa"/>
            </w:tcMar>
            <w:shd w:fill="F1F5F9"/>
          </w:tcPr>
          <w:p>
            <w:pPr>
              <w:jc w:val="right"/>
            </w:pPr>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Proceeds from / (Repayment of) Borrowings (Net)</w:t>
            </w:r>
          </w:p>
        </w:tc>
        <w:tc>
          <w:tcPr>
            <w:tcW w:type="dxa" w:w="3250"/>
            <w:tcMar>
              <w:top w:w="80" w:type="dxa"/>
              <w:bottom w:w="80" w:type="dxa"/>
              <w:left w:w="120" w:type="dxa"/>
              <w:right w:w="120" w:type="dxa"/>
            </w:tcMar>
            <w:shd w:fill="F1F5F9"/>
          </w:tcPr>
          <w:p>
            <w:pPr>
              <w:jc w:val="right"/>
            </w:pPr>
            <w:r>
              <w:rPr>
                <w:rFonts w:ascii="Segoe UI" w:hAnsi="Segoe UI"/>
                <w:sz w:val="18"/>
              </w:rPr>
              <w:t>-30.00</w:t>
            </w:r>
          </w:p>
        </w:tc>
        <w:tc>
          <w:tcPr>
            <w:tcW w:type="dxa" w:w="3250"/>
            <w:tcMar>
              <w:top w:w="80" w:type="dxa"/>
              <w:bottom w:w="80" w:type="dxa"/>
              <w:left w:w="120" w:type="dxa"/>
              <w:right w:w="120" w:type="dxa"/>
            </w:tcMar>
            <w:shd w:fill="F1F5F9"/>
          </w:tcPr>
          <w:p>
            <w:pPr>
              <w:jc w:val="right"/>
            </w:pPr>
            <w:r>
              <w:rPr>
                <w:rFonts w:ascii="Segoe UI" w:hAnsi="Segoe UI"/>
                <w:sz w:val="18"/>
              </w:rPr>
              <w:t>360.00</w:t>
            </w:r>
          </w:p>
        </w:tc>
      </w:tr>
      <w:tr>
        <w:tc>
          <w:tcPr>
            <w:tcW w:type="dxa" w:w="3250"/>
            <w:tcMar>
              <w:top w:w="80" w:type="dxa"/>
              <w:bottom w:w="80" w:type="dxa"/>
              <w:left w:w="120" w:type="dxa"/>
              <w:right w:w="120" w:type="dxa"/>
            </w:tcMar>
          </w:tcPr>
          <w:p>
            <w:r>
              <w:rPr>
                <w:rFonts w:ascii="Segoe UI" w:hAnsi="Segoe UI"/>
                <w:sz w:val="18"/>
              </w:rPr>
              <w:t xml:space="preserve">  Proceeds from Issue of Share Capital</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100.00</w:t>
            </w:r>
          </w:p>
        </w:tc>
      </w:tr>
      <w:tr>
        <w:tc>
          <w:tcPr>
            <w:tcW w:type="dxa" w:w="3250"/>
            <w:tcMar>
              <w:top w:w="80" w:type="dxa"/>
              <w:bottom w:w="80" w:type="dxa"/>
              <w:left w:w="120" w:type="dxa"/>
              <w:right w:w="120" w:type="dxa"/>
            </w:tcMar>
          </w:tcPr>
          <w:p>
            <w:r>
              <w:rPr>
                <w:rFonts w:ascii="Segoe UI" w:hAnsi="Segoe UI"/>
                <w:sz w:val="18"/>
              </w:rPr>
              <w:t xml:space="preserve">  Finance Cost Paid</w:t>
            </w:r>
          </w:p>
        </w:tc>
        <w:tc>
          <w:tcPr>
            <w:tcW w:type="dxa" w:w="3250"/>
            <w:tcMar>
              <w:top w:w="80" w:type="dxa"/>
              <w:bottom w:w="80" w:type="dxa"/>
              <w:left w:w="120" w:type="dxa"/>
              <w:right w:w="120" w:type="dxa"/>
            </w:tcMar>
            <w:shd w:fill="F1F5F9"/>
          </w:tcPr>
          <w:p>
            <w:pPr>
              <w:jc w:val="right"/>
            </w:pPr>
            <w:r>
              <w:rPr>
                <w:rFonts w:ascii="Segoe UI" w:hAnsi="Segoe UI"/>
                <w:sz w:val="18"/>
              </w:rPr>
              <w:t>-32.00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Dividend Paid</w:t>
            </w:r>
          </w:p>
        </w:tc>
        <w:tc>
          <w:tcPr>
            <w:tcW w:type="dxa" w:w="3250"/>
            <w:tcMar>
              <w:top w:w="80" w:type="dxa"/>
              <w:bottom w:w="80" w:type="dxa"/>
              <w:left w:w="120" w:type="dxa"/>
              <w:right w:w="120" w:type="dxa"/>
            </w:tcMar>
            <w:shd w:fill="F1F5F9"/>
          </w:tcPr>
          <w:p>
            <w:pPr>
              <w:jc w:val="right"/>
            </w:pPr>
            <w:r>
              <w:rPr>
                <w:rFonts w:ascii="Segoe UI" w:hAnsi="Segoe UI"/>
                <w:sz w:val="18"/>
              </w:rPr>
              <w:t>-60.00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Net Cash Flow from Financing Activities (C)</w:t>
            </w:r>
          </w:p>
        </w:tc>
        <w:tc>
          <w:tcPr>
            <w:tcW w:type="dxa" w:w="3250"/>
            <w:tcMar>
              <w:top w:w="80" w:type="dxa"/>
              <w:bottom w:w="80" w:type="dxa"/>
              <w:left w:w="120" w:type="dxa"/>
              <w:right w:w="120" w:type="dxa"/>
            </w:tcMar>
            <w:shd w:fill="F1F5F9"/>
          </w:tcPr>
          <w:p>
            <w:pPr>
              <w:jc w:val="right"/>
            </w:pPr>
            <w:r>
              <w:rPr>
                <w:rFonts w:ascii="Segoe UI" w:hAnsi="Segoe UI"/>
                <w:sz w:val="18"/>
              </w:rPr>
              <w:t>-122.00</w:t>
            </w:r>
          </w:p>
        </w:tc>
        <w:tc>
          <w:tcPr>
            <w:tcW w:type="dxa" w:w="3250"/>
            <w:tcMar>
              <w:top w:w="80" w:type="dxa"/>
              <w:bottom w:w="80" w:type="dxa"/>
              <w:left w:w="120" w:type="dxa"/>
              <w:right w:w="120" w:type="dxa"/>
            </w:tcMar>
            <w:shd w:fill="F1F5F9"/>
          </w:tcPr>
          <w:p>
            <w:pPr>
              <w:jc w:val="right"/>
            </w:pPr>
            <w:r>
              <w:rPr>
                <w:rFonts w:ascii="Segoe UI" w:hAnsi="Segoe UI"/>
                <w:sz w:val="18"/>
              </w:rPr>
              <w:t>460.00</w:t>
            </w:r>
          </w:p>
        </w:tc>
      </w:tr>
      <w:tr>
        <w:tc>
          <w:tcPr>
            <w:tcW w:type="dxa" w:w="3250"/>
            <w:tcMar>
              <w:top w:w="80" w:type="dxa"/>
              <w:bottom w:w="80" w:type="dxa"/>
              <w:left w:w="120" w:type="dxa"/>
              <w:right w:w="120" w:type="dxa"/>
            </w:tcMar>
          </w:tcPr>
          <w:p>
            <w:r>
              <w:rPr>
                <w:rFonts w:ascii="Segoe UI" w:hAnsi="Segoe UI"/>
                <w:sz w:val="18"/>
              </w:rPr>
              <w:t>NET INCREASE / (DECREASE) IN CASH AND CASH EQUIVALENTS (A + B + C)</w:t>
            </w:r>
          </w:p>
        </w:tc>
        <w:tc>
          <w:tcPr>
            <w:tcW w:type="dxa" w:w="3250"/>
            <w:tcMar>
              <w:top w:w="80" w:type="dxa"/>
              <w:bottom w:w="80" w:type="dxa"/>
              <w:left w:w="120" w:type="dxa"/>
              <w:right w:w="120" w:type="dxa"/>
            </w:tcMar>
            <w:shd w:fill="F1F5F9"/>
          </w:tcPr>
          <w:p>
            <w:pPr>
              <w:jc w:val="right"/>
            </w:pPr>
            <w:r>
              <w:rPr>
                <w:rFonts w:ascii="Segoe UI" w:hAnsi="Segoe UI"/>
                <w:sz w:val="18"/>
              </w:rPr>
              <w:t>13.00</w:t>
            </w:r>
          </w:p>
        </w:tc>
        <w:tc>
          <w:tcPr>
            <w:tcW w:type="dxa" w:w="3250"/>
            <w:tcMar>
              <w:top w:w="80" w:type="dxa"/>
              <w:bottom w:w="80" w:type="dxa"/>
              <w:left w:w="120" w:type="dxa"/>
              <w:right w:w="120" w:type="dxa"/>
            </w:tcMar>
            <w:shd w:fill="F1F5F9"/>
          </w:tcPr>
          <w:p>
            <w:pPr>
              <w:jc w:val="right"/>
            </w:pPr>
            <w:r>
              <w:rPr>
                <w:rFonts w:ascii="Segoe UI" w:hAnsi="Segoe UI"/>
                <w:sz w:val="18"/>
              </w:rPr>
              <w:t>23.00</w:t>
            </w:r>
          </w:p>
        </w:tc>
      </w:tr>
      <w:tr>
        <w:tc>
          <w:tcPr>
            <w:tcW w:type="dxa" w:w="3250"/>
            <w:tcMar>
              <w:top w:w="80" w:type="dxa"/>
              <w:bottom w:w="80" w:type="dxa"/>
              <w:left w:w="120" w:type="dxa"/>
              <w:right w:w="120" w:type="dxa"/>
            </w:tcMar>
          </w:tcPr>
          <w:p>
            <w:r>
              <w:rPr>
                <w:rFonts w:ascii="Segoe UI" w:hAnsi="Segoe UI"/>
                <w:sz w:val="18"/>
              </w:rPr>
              <w:t>Cash and Cash Equivalents — Opening Balance</w:t>
            </w:r>
          </w:p>
        </w:tc>
        <w:tc>
          <w:tcPr>
            <w:tcW w:type="dxa" w:w="3250"/>
            <w:tcMar>
              <w:top w:w="80" w:type="dxa"/>
              <w:bottom w:w="80" w:type="dxa"/>
              <w:left w:w="120" w:type="dxa"/>
              <w:right w:w="120" w:type="dxa"/>
            </w:tcMar>
            <w:shd w:fill="F1F5F9"/>
          </w:tcPr>
          <w:p>
            <w:pPr>
              <w:jc w:val="right"/>
            </w:pPr>
            <w:r>
              <w:rPr>
                <w:rFonts w:ascii="Segoe UI" w:hAnsi="Segoe UI"/>
                <w:sz w:val="18"/>
              </w:rPr>
              <w:t>155.00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Computed Closing Cash (Opening + A + B + C)</w:t>
            </w:r>
          </w:p>
        </w:tc>
        <w:tc>
          <w:tcPr>
            <w:tcW w:type="dxa" w:w="3250"/>
            <w:tcMar>
              <w:top w:w="80" w:type="dxa"/>
              <w:bottom w:w="80" w:type="dxa"/>
              <w:left w:w="120" w:type="dxa"/>
              <w:right w:w="120" w:type="dxa"/>
            </w:tcMar>
            <w:shd w:fill="F1F5F9"/>
          </w:tcPr>
          <w:p>
            <w:pPr>
              <w:jc w:val="right"/>
            </w:pPr>
            <w:r>
              <w:rPr>
                <w:rFonts w:ascii="Segoe UI" w:hAnsi="Segoe UI"/>
                <w:sz w:val="18"/>
              </w:rPr>
              <w:t>168.00</w:t>
            </w:r>
          </w:p>
        </w:tc>
        <w:tc>
          <w:tcPr>
            <w:tcW w:type="dxa" w:w="3250"/>
            <w:tcMar>
              <w:top w:w="80" w:type="dxa"/>
              <w:bottom w:w="80" w:type="dxa"/>
              <w:left w:w="120" w:type="dxa"/>
              <w:right w:w="120" w:type="dxa"/>
            </w:tcMar>
            <w:shd w:fill="F1F5F9"/>
          </w:tcPr>
          <w:p>
            <w:pPr>
              <w:jc w:val="right"/>
            </w:pPr>
            <w:r>
              <w:rPr>
                <w:rFonts w:ascii="Segoe UI" w:hAnsi="Segoe UI"/>
                <w:sz w:val="18"/>
              </w:rPr>
              <w:t>155.00</w:t>
            </w:r>
          </w:p>
        </w:tc>
      </w:tr>
      <w:tr>
        <w:tc>
          <w:tcPr>
            <w:tcW w:type="dxa" w:w="3250"/>
            <w:tcMar>
              <w:top w:w="80" w:type="dxa"/>
              <w:bottom w:w="80" w:type="dxa"/>
              <w:left w:w="120" w:type="dxa"/>
              <w:right w:w="120" w:type="dxa"/>
            </w:tcMar>
          </w:tcPr>
          <w:p>
            <w:r>
              <w:rPr>
                <w:rFonts w:ascii="Segoe UI" w:hAnsi="Segoe UI"/>
                <w:sz w:val="18"/>
              </w:rPr>
              <w:t>Cash and Cash Equivalents per Balance Sheet</w:t>
            </w:r>
          </w:p>
        </w:tc>
        <w:tc>
          <w:tcPr>
            <w:tcW w:type="dxa" w:w="3250"/>
            <w:tcMar>
              <w:top w:w="80" w:type="dxa"/>
              <w:bottom w:w="80" w:type="dxa"/>
              <w:left w:w="120" w:type="dxa"/>
              <w:right w:w="120" w:type="dxa"/>
            </w:tcMar>
            <w:shd w:fill="F1F5F9"/>
          </w:tcPr>
          <w:p>
            <w:pPr>
              <w:jc w:val="right"/>
            </w:pPr>
            <w:r>
              <w:rPr>
                <w:rFonts w:ascii="Segoe UI" w:hAnsi="Segoe UI"/>
                <w:sz w:val="18"/>
              </w:rPr>
              <w:t>175.00</w:t>
            </w:r>
          </w:p>
        </w:tc>
        <w:tc>
          <w:tcPr>
            <w:tcW w:type="dxa" w:w="3250"/>
            <w:tcMar>
              <w:top w:w="80" w:type="dxa"/>
              <w:bottom w:w="80" w:type="dxa"/>
              <w:left w:w="120" w:type="dxa"/>
              <w:right w:w="120" w:type="dxa"/>
            </w:tcMar>
            <w:shd w:fill="F1F5F9"/>
          </w:tcPr>
          <w:p>
            <w:pPr>
              <w:jc w:val="right"/>
            </w:pPr>
            <w:r>
              <w:rPr>
                <w:rFonts w:ascii="Segoe UI" w:hAnsi="Segoe UI"/>
                <w:sz w:val="18"/>
              </w:rPr>
              <w:t>155.00</w:t>
            </w:r>
          </w:p>
        </w:tc>
      </w:tr>
      <w:tr>
        <w:tc>
          <w:tcPr>
            <w:tcW w:type="dxa" w:w="3250"/>
            <w:tcMar>
              <w:top w:w="80" w:type="dxa"/>
              <w:bottom w:w="80" w:type="dxa"/>
              <w:left w:w="120" w:type="dxa"/>
              <w:right w:w="120" w:type="dxa"/>
            </w:tcMar>
          </w:tcPr>
          <w:p>
            <w:r>
              <w:rPr>
                <w:rFonts w:ascii="Segoe UI" w:hAnsi="Segoe UI"/>
                <w:sz w:val="18"/>
              </w:rPr>
              <w:t>Reconciliation Difference (Nil if reconciled)</w:t>
            </w:r>
          </w:p>
        </w:tc>
        <w:tc>
          <w:tcPr>
            <w:tcW w:type="dxa" w:w="3250"/>
            <w:tcMar>
              <w:top w:w="80" w:type="dxa"/>
              <w:bottom w:w="80" w:type="dxa"/>
              <w:left w:w="120" w:type="dxa"/>
              <w:right w:w="120" w:type="dxa"/>
            </w:tcMar>
            <w:shd w:fill="F1F5F9"/>
          </w:tcPr>
          <w:p>
            <w:pPr>
              <w:jc w:val="right"/>
            </w:pPr>
            <w:r>
              <w:rPr>
                <w:rFonts w:ascii="Segoe UI" w:hAnsi="Segoe UI"/>
                <w:sz w:val="18"/>
              </w:rPr>
              <w:t>7.00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bl>
    <w:p>
      <w:r>
        <w:br w:type="page"/>
      </w:r>
    </w:p>
    <w:p>
      <w:pPr>
        <w:keepNext/>
        <w:spacing w:before="280" w:after="120"/>
      </w:pPr>
      <w:r>
        <w:rPr>
          <w:rFonts w:ascii="Segoe UI" w:hAnsi="Segoe UI"/>
          <w:b/>
          <w:color w:val="1B365D"/>
          <w:sz w:val="26"/>
        </w:rPr>
        <w:t>SIGNIFICANT ACCOUNTING POLICIES (IGAAP)</w:t>
      </w:r>
    </w:p>
    <w:p>
      <w:pPr>
        <w:keepNext/>
        <w:spacing w:before="160" w:after="40"/>
      </w:pPr>
      <w:r>
        <w:rPr>
          <w:rFonts w:ascii="Segoe UI" w:hAnsi="Segoe UI"/>
          <w:b/>
          <w:color w:val="1B365D"/>
          <w:sz w:val="20"/>
        </w:rPr>
        <w:t>AP-01: Basis of preparation</w:t>
      </w:r>
    </w:p>
    <w:p>
      <w:pPr>
        <w:spacing w:after="120"/>
      </w:pPr>
      <w:r>
        <w:rPr>
          <w:rFonts w:ascii="Segoe UI" w:hAnsi="Segoe UI"/>
          <w:sz w:val="18"/>
        </w:rPr>
        <w:t>The financial statements have been prepared in accordance with Generally Accepted Accounting Principles in India (Indian GAAP) under the historical cost convention on an accrual basis. The financial statements comply in all material respects with the Accounting Standards specified under Section 133 of the Companies Act, 2013, read with Rule 7 of the Companies (Accounts) Rules, 2014, and the relevant provisions of the Companies Act, 2013, including Schedule III Division I.</w:t>
      </w:r>
    </w:p>
    <w:p>
      <w:pPr>
        <w:keepNext/>
        <w:spacing w:before="160" w:after="40"/>
      </w:pPr>
      <w:r>
        <w:rPr>
          <w:rFonts w:ascii="Segoe UI" w:hAnsi="Segoe UI"/>
          <w:b/>
          <w:color w:val="1B365D"/>
          <w:sz w:val="20"/>
        </w:rPr>
        <w:t>AP-02: Use of estimates</w:t>
      </w:r>
    </w:p>
    <w:p>
      <w:pPr>
        <w:spacing w:after="120"/>
      </w:pPr>
      <w:r>
        <w:rPr>
          <w:rFonts w:ascii="Segoe UI" w:hAnsi="Segoe UI"/>
          <w:sz w:val="18"/>
        </w:rPr>
        <w:t>The preparation of financial statements in conformity with Indian GAAP requires management to make estimates and assumptions that affect the reported amounts of assets and liabilities, disclosures of contingent liabilities as at the date of financial statements, and the reported amounts of revenues and expenses during the reporting period. Actual results could differ from those estimates. Any revision to accounting estimates is recognized prospectively in current and future periods.</w:t>
      </w:r>
    </w:p>
    <w:p>
      <w:pPr>
        <w:keepNext/>
        <w:spacing w:before="160" w:after="40"/>
      </w:pPr>
      <w:r>
        <w:rPr>
          <w:rFonts w:ascii="Segoe UI" w:hAnsi="Segoe UI"/>
          <w:b/>
          <w:color w:val="1B365D"/>
          <w:sz w:val="20"/>
        </w:rPr>
        <w:t>AP-03: Property, plant and equipment</w:t>
      </w:r>
    </w:p>
    <w:p>
      <w:pPr>
        <w:spacing w:after="120"/>
      </w:pPr>
      <w:r>
        <w:rPr>
          <w:rFonts w:ascii="Segoe UI" w:hAnsi="Segoe UI"/>
          <w:sz w:val="18"/>
        </w:rPr>
        <w:t>Property, plant and equipment are stated at cost of acquisition or construction less accumulated depreciation and accumulated impairment losses, if any. The cost comprises purchase price, borrowing costs if capitalization criteria are met, and directly attributable costs of bringing the asset to its working condition for intended use. Subsequent expenditure relating to property, plant and equipment is capitalized only when it increases the future economic benefits from the asset.</w:t>
      </w:r>
    </w:p>
    <w:p>
      <w:pPr>
        <w:keepNext/>
        <w:spacing w:before="160" w:after="40"/>
      </w:pPr>
      <w:r>
        <w:rPr>
          <w:rFonts w:ascii="Segoe UI" w:hAnsi="Segoe UI"/>
          <w:b/>
          <w:color w:val="1B365D"/>
          <w:sz w:val="20"/>
        </w:rPr>
        <w:t>AP-04: Capital work-in-progress</w:t>
      </w:r>
    </w:p>
    <w:p>
      <w:pPr>
        <w:spacing w:after="120"/>
      </w:pPr>
      <w:r>
        <w:rPr>
          <w:rFonts w:ascii="Segoe UI" w:hAnsi="Segoe UI"/>
          <w:sz w:val="18"/>
        </w:rPr>
        <w:t>Capital work-in-progress (CWIP) includes cost of property, plant and equipment that are not ready for their intended use as at the reporting date. CWIP is carried at cost, comprising direct costs, attributable borrowing costs, and directly allocated expenses incurred during the construction/erection period. Capital advances given towards acquisition of fixed assets are disclosed under long-term loans and advances.</w:t>
      </w:r>
    </w:p>
    <w:p>
      <w:pPr>
        <w:keepNext/>
        <w:spacing w:before="160" w:after="40"/>
      </w:pPr>
      <w:r>
        <w:rPr>
          <w:rFonts w:ascii="Segoe UI" w:hAnsi="Segoe UI"/>
          <w:b/>
          <w:color w:val="1B365D"/>
          <w:sz w:val="20"/>
        </w:rPr>
        <w:t>AP-05: Depreciation and amortisation</w:t>
      </w:r>
    </w:p>
    <w:p>
      <w:pPr>
        <w:spacing w:after="120"/>
      </w:pPr>
      <w:r>
        <w:rPr>
          <w:rFonts w:ascii="Segoe UI" w:hAnsi="Segoe UI"/>
          <w:sz w:val="18"/>
        </w:rPr>
        <w:t>Depreciation on property, plant and equipment is provided on the Straight Line Method (SLM) based on the useful lives of assets prescribed under Schedule II of the Companies Act, 2013. Intangible assets are amortized over their estimated useful economic life on a straight-line basis, not exceeding five years. Assets costing individually up to Rs 5,000 are fully depreciated in the year of acquisition.</w:t>
      </w:r>
    </w:p>
    <w:p>
      <w:pPr>
        <w:keepNext/>
        <w:spacing w:before="160" w:after="40"/>
      </w:pPr>
      <w:r>
        <w:rPr>
          <w:rFonts w:ascii="Segoe UI" w:hAnsi="Segoe UI"/>
          <w:b/>
          <w:color w:val="1B365D"/>
          <w:sz w:val="20"/>
        </w:rPr>
        <w:t>AP-06: Impairment of assets</w:t>
      </w:r>
    </w:p>
    <w:p>
      <w:pPr>
        <w:spacing w:after="120"/>
      </w:pPr>
      <w:r>
        <w:rPr>
          <w:rFonts w:ascii="Segoe UI" w:hAnsi="Segoe UI"/>
          <w:sz w:val="18"/>
        </w:rPr>
        <w:t>The carrying amounts of assets are reviewed at each Balance Sheet date to determine whether there is any indication of impairment. If any such indication exists, the asset's recoverable amount is estimated. An impairment loss is recognized whenever the carrying amount of an asset exceeds its recoverable amount. Recoverable amount is the higher of net selling price and value in use.</w:t>
      </w:r>
    </w:p>
    <w:p>
      <w:pPr>
        <w:keepNext/>
        <w:spacing w:before="160" w:after="40"/>
      </w:pPr>
      <w:r>
        <w:rPr>
          <w:rFonts w:ascii="Segoe UI" w:hAnsi="Segoe UI"/>
          <w:b/>
          <w:color w:val="1B365D"/>
          <w:sz w:val="20"/>
        </w:rPr>
        <w:t>AP-07: Inventories</w:t>
      </w:r>
    </w:p>
    <w:p>
      <w:pPr>
        <w:spacing w:after="120"/>
      </w:pPr>
      <w:r>
        <w:rPr>
          <w:rFonts w:ascii="Segoe UI" w:hAnsi="Segoe UI"/>
          <w:sz w:val="18"/>
        </w:rPr>
        <w:t>Inventories are valued at the lower of cost and net realizable value. Cost of raw materials, components, stores and spares is determined on First-In-First-Out (FIFO) basis. Cost of finished goods and work-in-progress includes direct material, direct labor, and an appropriate proportion of fixed and variable overheads incurred in bringing inventories to their present location and condition.</w:t>
      </w:r>
    </w:p>
    <w:p>
      <w:pPr>
        <w:keepNext/>
        <w:spacing w:before="160" w:after="40"/>
      </w:pPr>
      <w:r>
        <w:rPr>
          <w:rFonts w:ascii="Segoe UI" w:hAnsi="Segoe UI"/>
          <w:b/>
          <w:color w:val="1B365D"/>
          <w:sz w:val="20"/>
        </w:rPr>
        <w:t>AP-08: Revenue recognition</w:t>
      </w:r>
    </w:p>
    <w:p>
      <w:pPr>
        <w:spacing w:after="120"/>
      </w:pPr>
      <w:r>
        <w:rPr>
          <w:rFonts w:ascii="Segoe UI" w:hAnsi="Segoe UI"/>
          <w:sz w:val="18"/>
        </w:rPr>
        <w:t>Revenue is recognized to the extent that it is probable that the economic benefits will flow to the Company and revenue can be reliably measured. Revenue from domestic and export sale of goods is recognized upon transfer of significant risks and rewards of ownership to the buyer, which generally coincides with dispatch or delivery of goods. Sales are net of trade discounts, returns, GST, and applicable indirect taxes.</w:t>
      </w:r>
    </w:p>
    <w:p>
      <w:pPr>
        <w:keepNext/>
        <w:spacing w:before="160" w:after="40"/>
      </w:pPr>
      <w:r>
        <w:rPr>
          <w:rFonts w:ascii="Segoe UI" w:hAnsi="Segoe UI"/>
          <w:b/>
          <w:color w:val="1B365D"/>
          <w:sz w:val="20"/>
        </w:rPr>
        <w:t>AP-09: Other income</w:t>
      </w:r>
    </w:p>
    <w:p>
      <w:pPr>
        <w:spacing w:after="120"/>
      </w:pPr>
      <w:r>
        <w:rPr>
          <w:rFonts w:ascii="Segoe UI" w:hAnsi="Segoe UI"/>
          <w:sz w:val="18"/>
        </w:rPr>
        <w:t>Interest income is recognized on a time proportion basis taking into account the amount outstanding and the applicable interest rate. Dividend income is recognized when the right to receive payment is established by the balance sheet date. Profit or loss on sale of investments is recognized on trade date basis.</w:t>
      </w:r>
    </w:p>
    <w:p>
      <w:pPr>
        <w:keepNext/>
        <w:spacing w:before="160" w:after="40"/>
      </w:pPr>
      <w:r>
        <w:rPr>
          <w:rFonts w:ascii="Segoe UI" w:hAnsi="Segoe UI"/>
          <w:b/>
          <w:color w:val="1B365D"/>
          <w:sz w:val="20"/>
        </w:rPr>
        <w:t>AP-10: Employee benefits</w:t>
      </w:r>
    </w:p>
    <w:p>
      <w:pPr>
        <w:spacing w:after="120"/>
      </w:pPr>
      <w:r>
        <w:rPr>
          <w:rFonts w:ascii="Segoe UI" w:hAnsi="Segoe UI"/>
          <w:sz w:val="18"/>
        </w:rPr>
        <w:t>Short-term employee benefits are recognized as an expense in the Statement of Profit and Loss for the year in which services are rendered. Post-employment benefits such as Provident Fund and ESIC are defined contribution plans and charged to Profit and Loss as incurred. Gratuity and Leave Encashment liabilities are defined benefit obligations determined based on actuarial valuation as at the year end.</w:t>
      </w:r>
    </w:p>
    <w:p>
      <w:pPr>
        <w:keepNext/>
        <w:spacing w:before="160" w:after="40"/>
      </w:pPr>
      <w:r>
        <w:rPr>
          <w:rFonts w:ascii="Segoe UI" w:hAnsi="Segoe UI"/>
          <w:b/>
          <w:color w:val="1B365D"/>
          <w:sz w:val="20"/>
        </w:rPr>
        <w:t>AP-11: Borrowing costs</w:t>
      </w:r>
    </w:p>
    <w:p>
      <w:pPr>
        <w:spacing w:after="120"/>
      </w:pPr>
      <w:r>
        <w:rPr>
          <w:rFonts w:ascii="Segoe UI" w:hAnsi="Segoe UI"/>
          <w:sz w:val="18"/>
        </w:rPr>
        <w:t>Borrowing costs directly attributable to the acquisition, construction, or production of qualifying assets are capitalized as part of the cost of such asset until the asset is substantially ready for its intended use. A qualifying asset is one that necessarily takes a substantial period of time to get ready for its intended use. Other borrowing costs are recognized as an expense in the period in which they are incurred.</w:t>
      </w:r>
    </w:p>
    <w:p>
      <w:pPr>
        <w:keepNext/>
        <w:spacing w:before="160" w:after="40"/>
      </w:pPr>
      <w:r>
        <w:rPr>
          <w:rFonts w:ascii="Segoe UI" w:hAnsi="Segoe UI"/>
          <w:b/>
          <w:color w:val="1B365D"/>
          <w:sz w:val="20"/>
        </w:rPr>
        <w:t>AP-12: Foreign currency transactions</w:t>
      </w:r>
    </w:p>
    <w:p>
      <w:pPr>
        <w:spacing w:after="120"/>
      </w:pPr>
      <w:r>
        <w:rPr>
          <w:rFonts w:ascii="Segoe UI" w:hAnsi="Segoe UI"/>
          <w:sz w:val="18"/>
        </w:rPr>
        <w:t>Foreign currency transactions are recorded at exchange rates prevailing on the date of transaction. Monetary assets and liabilities denominated in foreign currencies as at reporting date are translated at exchange rates prevailing at balance sheet date. Exchange differences arising on settlement or translation of monetary items are recognized as income or expense in the Statement of Profit and Loss.</w:t>
      </w:r>
    </w:p>
    <w:p>
      <w:pPr>
        <w:keepNext/>
        <w:spacing w:before="160" w:after="40"/>
      </w:pPr>
      <w:r>
        <w:rPr>
          <w:rFonts w:ascii="Segoe UI" w:hAnsi="Segoe UI"/>
          <w:b/>
          <w:color w:val="1B365D"/>
          <w:sz w:val="20"/>
        </w:rPr>
        <w:t>AP-13: Taxation</w:t>
      </w:r>
    </w:p>
    <w:p>
      <w:pPr>
        <w:spacing w:after="120"/>
      </w:pPr>
      <w:r>
        <w:rPr>
          <w:rFonts w:ascii="Segoe UI" w:hAnsi="Segoe UI"/>
          <w:sz w:val="18"/>
        </w:rPr>
        <w:t>Tax expense comprises current tax and deferred tax. Current tax is measured at the amount expected to be paid to the tax authorities in accordance with the provisions of the Income Tax Act, 1961. Minimum Alternate Tax (MAT) paid in accordance with tax laws is recognized as an asset when it is probable that future economic benefit will flow to the Company.</w:t>
      </w:r>
    </w:p>
    <w:p>
      <w:pPr>
        <w:keepNext/>
        <w:spacing w:before="160" w:after="40"/>
      </w:pPr>
      <w:r>
        <w:rPr>
          <w:rFonts w:ascii="Segoe UI" w:hAnsi="Segoe UI"/>
          <w:b/>
          <w:color w:val="1B365D"/>
          <w:sz w:val="20"/>
        </w:rPr>
        <w:t>AP-14: Deferred tax</w:t>
      </w:r>
    </w:p>
    <w:p>
      <w:pPr>
        <w:spacing w:after="120"/>
      </w:pPr>
      <w:r>
        <w:rPr>
          <w:rFonts w:ascii="Segoe UI" w:hAnsi="Segoe UI"/>
          <w:sz w:val="18"/>
        </w:rPr>
        <w:t>Deferred tax is recognized on timing differences between taxable income and accounting income originating in one period and capable of reversal in one or more subsequent periods. Deferred tax assets are recognized only to the extent there is reasonable certainty that sufficient future taxable income will be available against which such deferred tax assets can be realized.</w:t>
      </w:r>
    </w:p>
    <w:p>
      <w:pPr>
        <w:keepNext/>
        <w:spacing w:before="160" w:after="40"/>
      </w:pPr>
      <w:r>
        <w:rPr>
          <w:rFonts w:ascii="Segoe UI" w:hAnsi="Segoe UI"/>
          <w:b/>
          <w:color w:val="1B365D"/>
          <w:sz w:val="20"/>
        </w:rPr>
        <w:t>AP-15: Provisions and contingent liabilities</w:t>
      </w:r>
    </w:p>
    <w:p>
      <w:pPr>
        <w:spacing w:after="120"/>
      </w:pPr>
      <w:r>
        <w:rPr>
          <w:rFonts w:ascii="Segoe UI" w:hAnsi="Segoe UI"/>
          <w:sz w:val="18"/>
        </w:rPr>
        <w:t>A provision is recognized when the Company has a present obligation as a result of past events and it is probable that an outflow of resources will be required to settle the obligation. Contingent liabilities are not recognized but are disclosed in the notes to accounts when there is a possible obligation or present obligation where outflow is not probable. Contingent assets are neither recognized nor disclosed.</w:t>
      </w:r>
    </w:p>
    <w:p>
      <w:pPr>
        <w:keepNext/>
        <w:spacing w:before="160" w:after="40"/>
      </w:pPr>
      <w:r>
        <w:rPr>
          <w:rFonts w:ascii="Segoe UI" w:hAnsi="Segoe UI"/>
          <w:b/>
          <w:color w:val="1B365D"/>
          <w:sz w:val="20"/>
        </w:rPr>
        <w:t>AP-16: Investments</w:t>
      </w:r>
    </w:p>
    <w:p>
      <w:pPr>
        <w:spacing w:after="120"/>
      </w:pPr>
      <w:r>
        <w:rPr>
          <w:rFonts w:ascii="Segoe UI" w:hAnsi="Segoe UI"/>
          <w:sz w:val="18"/>
        </w:rPr>
        <w:t>Investments that are readily realizable and intended to be held for not more than a year from the reporting date are classified as current investments and carried at lower of cost and fair value. Long-term investments are carried at cost. Provision for diminution in value of long-term investments is made only if such decline is of other than temporary nature.</w:t>
      </w:r>
    </w:p>
    <w:p>
      <w:pPr>
        <w:keepNext/>
        <w:spacing w:before="160" w:after="40"/>
      </w:pPr>
      <w:r>
        <w:rPr>
          <w:rFonts w:ascii="Segoe UI" w:hAnsi="Segoe UI"/>
          <w:b/>
          <w:color w:val="1B365D"/>
          <w:sz w:val="20"/>
        </w:rPr>
        <w:t>AP-17: Cash and cash equivalents</w:t>
      </w:r>
    </w:p>
    <w:p>
      <w:pPr>
        <w:spacing w:after="120"/>
      </w:pPr>
      <w:r>
        <w:rPr>
          <w:rFonts w:ascii="Segoe UI" w:hAnsi="Segoe UI"/>
          <w:sz w:val="18"/>
        </w:rPr>
        <w:t>Cash and cash equivalents in the balance sheet comprise cash at bank, cash in hand, and short-term fixed deposits with an original maturity of three months or less that are readily convertible to known amounts of cash and subject to insignificant risk of changes in value.</w:t>
      </w:r>
    </w:p>
    <w:p>
      <w:pPr>
        <w:keepNext/>
        <w:spacing w:before="160" w:after="40"/>
      </w:pPr>
      <w:r>
        <w:rPr>
          <w:rFonts w:ascii="Segoe UI" w:hAnsi="Segoe UI"/>
          <w:b/>
          <w:color w:val="1B365D"/>
          <w:sz w:val="20"/>
        </w:rPr>
        <w:t>AP-18: Earnings per share</w:t>
      </w:r>
    </w:p>
    <w:p>
      <w:pPr>
        <w:spacing w:after="120"/>
      </w:pPr>
      <w:r>
        <w:rPr>
          <w:rFonts w:ascii="Segoe UI" w:hAnsi="Segoe UI"/>
          <w:sz w:val="18"/>
        </w:rPr>
        <w:t>Basic earnings per share is computed by dividing net profit or loss after tax attributable to equity shareholders by the weighted average number of equity shares outstanding during the year. Diluted earnings per share is computed after adjusting for effects of all dilutive potential equity shares.</w:t>
      </w:r>
    </w:p>
    <w:p>
      <w:pPr>
        <w:keepNext/>
        <w:spacing w:before="160" w:after="40"/>
      </w:pPr>
      <w:r>
        <w:rPr>
          <w:rFonts w:ascii="Segoe UI" w:hAnsi="Segoe UI"/>
          <w:b/>
          <w:color w:val="1B365D"/>
          <w:sz w:val="20"/>
        </w:rPr>
        <w:t>AP-19: Related party disclosures</w:t>
      </w:r>
    </w:p>
    <w:p>
      <w:pPr>
        <w:spacing w:after="120"/>
      </w:pPr>
      <w:r>
        <w:rPr>
          <w:rFonts w:ascii="Segoe UI" w:hAnsi="Segoe UI"/>
          <w:sz w:val="18"/>
        </w:rPr>
        <w:t>Disclosures as required under AS 18 Related Party Disclosures are made in respect of transactions with parties that are related to the Company by virtue of control, significant influence, or key management personnel relationship.</w:t>
      </w:r>
    </w:p>
    <w:p>
      <w:pPr>
        <w:keepNext/>
        <w:spacing w:before="160" w:after="40"/>
      </w:pPr>
      <w:r>
        <w:rPr>
          <w:rFonts w:ascii="Segoe UI" w:hAnsi="Segoe UI"/>
          <w:b/>
          <w:color w:val="1B365D"/>
          <w:sz w:val="20"/>
        </w:rPr>
        <w:t>AP-20: Leases</w:t>
      </w:r>
    </w:p>
    <w:p>
      <w:pPr>
        <w:spacing w:after="120"/>
      </w:pPr>
      <w:r>
        <w:rPr>
          <w:rFonts w:ascii="Segoe UI" w:hAnsi="Segoe UI"/>
          <w:sz w:val="18"/>
        </w:rPr>
        <w:t>Leases where the lessor effectively retains substantially all risks and benefits of ownership are classified as operating leases. Operating lease payments are recognized as an expense in the Statement of Profit and Loss on a straight-line basis over the lease term.</w:t>
      </w:r>
    </w:p>
    <w:p>
      <w:pPr>
        <w:keepNext/>
        <w:spacing w:before="160" w:after="40"/>
      </w:pPr>
      <w:r>
        <w:rPr>
          <w:rFonts w:ascii="Segoe UI" w:hAnsi="Segoe UI"/>
          <w:b/>
          <w:color w:val="1B365D"/>
          <w:sz w:val="20"/>
        </w:rPr>
        <w:t>AP-21: Previous year comparatives and regrouping</w:t>
      </w:r>
    </w:p>
    <w:p>
      <w:pPr>
        <w:spacing w:after="120"/>
      </w:pPr>
      <w:r>
        <w:rPr>
          <w:rFonts w:ascii="Segoe UI" w:hAnsi="Segoe UI"/>
          <w:sz w:val="18"/>
        </w:rPr>
        <w:t>Previous year figures have been regrouped, reclassified, and rearranged wherever necessary to conform with the current year's presentation and Schedule III Division I classification requirements.</w:t>
      </w:r>
    </w:p>
    <w:p>
      <w:r>
        <w:br w:type="page"/>
      </w:r>
    </w:p>
    <w:p>
      <w:pPr>
        <w:keepNext/>
        <w:spacing w:before="280" w:after="120"/>
      </w:pPr>
      <w:r>
        <w:rPr>
          <w:rFonts w:ascii="Segoe UI" w:hAnsi="Segoe UI"/>
          <w:b/>
          <w:color w:val="1B365D"/>
          <w:sz w:val="26"/>
        </w:rPr>
        <w:t>NOTES FORMING PART OF FINANCIAL STATEMENTS</w:t>
      </w:r>
    </w:p>
    <w:p>
      <w:pPr>
        <w:keepNext/>
        <w:spacing w:before="200" w:after="40"/>
      </w:pPr>
      <w:r>
        <w:rPr>
          <w:rFonts w:ascii="Segoe UI" w:hAnsi="Segoe UI"/>
          <w:b/>
          <w:color w:val="1B365D"/>
          <w:sz w:val="21"/>
        </w:rPr>
        <w:t>NOTE 1.1: SHARE CAPITAL</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Authorised Share Capital:</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10,00,000 Equity Shares of Rs. 10/- each</w:t>
            </w:r>
          </w:p>
        </w:tc>
        <w:tc>
          <w:tcPr>
            <w:tcW w:type="dxa" w:w="3250"/>
            <w:tcMar>
              <w:top w:w="80" w:type="dxa"/>
              <w:bottom w:w="80" w:type="dxa"/>
              <w:left w:w="120" w:type="dxa"/>
              <w:right w:w="120" w:type="dxa"/>
            </w:tcMar>
            <w:shd w:fill="F1F5F9"/>
          </w:tcPr>
          <w:p>
            <w:pPr>
              <w:jc w:val="right"/>
            </w:pPr>
            <w:r>
              <w:rPr>
                <w:rFonts w:ascii="Segoe UI" w:hAnsi="Segoe UI"/>
                <w:sz w:val="18"/>
              </w:rPr>
              <w:t>100.00</w:t>
            </w:r>
          </w:p>
        </w:tc>
        <w:tc>
          <w:tcPr>
            <w:tcW w:type="dxa" w:w="3250"/>
            <w:tcMar>
              <w:top w:w="80" w:type="dxa"/>
              <w:bottom w:w="80" w:type="dxa"/>
              <w:left w:w="120" w:type="dxa"/>
              <w:right w:w="120" w:type="dxa"/>
            </w:tcMar>
            <w:shd w:fill="F1F5F9"/>
          </w:tcPr>
          <w:p>
            <w:pPr>
              <w:jc w:val="right"/>
            </w:pPr>
            <w:r>
              <w:rPr>
                <w:rFonts w:ascii="Segoe UI" w:hAnsi="Segoe UI"/>
                <w:sz w:val="18"/>
              </w:rPr>
              <w:t>100.00</w:t>
            </w:r>
          </w:p>
        </w:tc>
      </w:tr>
      <w:tr>
        <w:tc>
          <w:tcPr>
            <w:tcW w:type="dxa" w:w="3250"/>
            <w:tcMar>
              <w:top w:w="80" w:type="dxa"/>
              <w:bottom w:w="80" w:type="dxa"/>
              <w:left w:w="120" w:type="dxa"/>
              <w:right w:w="120" w:type="dxa"/>
            </w:tcMar>
          </w:tcPr>
          <w:p>
            <w:r>
              <w:rPr>
                <w:rFonts w:ascii="Segoe UI" w:hAnsi="Segoe UI"/>
                <w:sz w:val="18"/>
              </w:rPr>
              <w:t>Issued, Subscribed &amp; Paid-up Capital:</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Equity Shares of Rs. 10/- each fully paid</w:t>
            </w:r>
          </w:p>
        </w:tc>
        <w:tc>
          <w:tcPr>
            <w:tcW w:type="dxa" w:w="3250"/>
            <w:tcMar>
              <w:top w:w="80" w:type="dxa"/>
              <w:bottom w:w="80" w:type="dxa"/>
              <w:left w:w="120" w:type="dxa"/>
              <w:right w:w="120" w:type="dxa"/>
            </w:tcMar>
            <w:shd w:fill="F1F5F9"/>
          </w:tcPr>
          <w:p>
            <w:pPr>
              <w:jc w:val="right"/>
            </w:pPr>
            <w:r>
              <w:rPr>
                <w:rFonts w:ascii="Segoe UI" w:hAnsi="Segoe UI"/>
                <w:sz w:val="18"/>
              </w:rPr>
              <w:t>100.00</w:t>
            </w:r>
          </w:p>
        </w:tc>
        <w:tc>
          <w:tcPr>
            <w:tcW w:type="dxa" w:w="3250"/>
            <w:tcMar>
              <w:top w:w="80" w:type="dxa"/>
              <w:bottom w:w="80" w:type="dxa"/>
              <w:left w:w="120" w:type="dxa"/>
              <w:right w:w="120" w:type="dxa"/>
            </w:tcMar>
            <w:shd w:fill="F1F5F9"/>
          </w:tcPr>
          <w:p>
            <w:pPr>
              <w:jc w:val="right"/>
            </w:pPr>
            <w:r>
              <w:rPr>
                <w:rFonts w:ascii="Segoe UI" w:hAnsi="Segoe UI"/>
                <w:sz w:val="18"/>
              </w:rPr>
              <w:t>100.00</w:t>
            </w:r>
          </w:p>
        </w:tc>
      </w:tr>
      <w:tr>
        <w:tc>
          <w:tcPr>
            <w:tcW w:type="dxa" w:w="3250"/>
            <w:tcMar>
              <w:top w:w="80" w:type="dxa"/>
              <w:bottom w:w="80" w:type="dxa"/>
              <w:left w:w="120" w:type="dxa"/>
              <w:right w:w="120" w:type="dxa"/>
            </w:tcMar>
          </w:tcPr>
          <w:p>
            <w:r>
              <w:rPr>
                <w:rFonts w:ascii="Segoe UI" w:hAnsi="Segoe UI"/>
                <w:b/>
                <w:sz w:val="18"/>
              </w:rPr>
              <w:t>TOTAL SHARE CAPITAL</w:t>
            </w:r>
          </w:p>
        </w:tc>
        <w:tc>
          <w:tcPr>
            <w:tcW w:type="dxa" w:w="3250"/>
            <w:tcMar>
              <w:top w:w="80" w:type="dxa"/>
              <w:bottom w:w="80" w:type="dxa"/>
              <w:left w:w="120" w:type="dxa"/>
              <w:right w:w="120" w:type="dxa"/>
            </w:tcMar>
            <w:shd w:fill="F1F5F9"/>
          </w:tcPr>
          <w:p>
            <w:pPr>
              <w:jc w:val="right"/>
            </w:pPr>
            <w:r>
              <w:rPr>
                <w:rFonts w:ascii="Segoe UI" w:hAnsi="Segoe UI"/>
                <w:b/>
                <w:sz w:val="18"/>
              </w:rPr>
              <w:t>100.00</w:t>
            </w:r>
          </w:p>
        </w:tc>
        <w:tc>
          <w:tcPr>
            <w:tcW w:type="dxa" w:w="3250"/>
            <w:tcMar>
              <w:top w:w="80" w:type="dxa"/>
              <w:bottom w:w="80" w:type="dxa"/>
              <w:left w:w="120" w:type="dxa"/>
              <w:right w:w="120" w:type="dxa"/>
            </w:tcMar>
            <w:shd w:fill="F1F5F9"/>
          </w:tcPr>
          <w:p>
            <w:pPr>
              <w:jc w:val="right"/>
            </w:pPr>
            <w:r>
              <w:rPr>
                <w:rFonts w:ascii="Segoe UI" w:hAnsi="Segoe UI"/>
                <w:b/>
                <w:sz w:val="18"/>
              </w:rPr>
              <w:t>100.00</w:t>
            </w:r>
          </w:p>
        </w:tc>
      </w:tr>
    </w:tbl>
    <w:p/>
    <w:p>
      <w:pPr>
        <w:spacing w:after="160"/>
      </w:pPr>
      <w:r>
        <w:rPr>
          <w:rFonts w:ascii="Segoe UI" w:hAnsi="Segoe UI"/>
          <w:sz w:val="18"/>
        </w:rPr>
        <w:t>1. Rights, Preferences &amp; Restrictions:</w:t>
        <w:br/>
        <w:t>The Company has only one class of equity shares of par value Rs 10/- each. Each equity shareholder is entitled to one vote per share. In the event of liquidation, equity shareholders receive remaining assets after all preferential amounts are distributed.</w:t>
        <w:br/>
        <w:br/>
        <w:t>2. Shareholders holding more than 5% shares:</w:t>
        <w:br/>
        <w:t>Promoters &amp; Key Management Personnel - 100% holding as at the end of the reporting period.</w:t>
      </w:r>
    </w:p>
    <w:p>
      <w:pPr>
        <w:keepNext/>
        <w:spacing w:before="200" w:after="40"/>
      </w:pPr>
      <w:r>
        <w:rPr>
          <w:rFonts w:ascii="Segoe UI" w:hAnsi="Segoe UI"/>
          <w:b/>
          <w:color w:val="1B365D"/>
          <w:sz w:val="21"/>
        </w:rPr>
        <w:t>NOTE 1.2: RESERVES AND SURPLUS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(a) General Reserve:</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Opening Balance</w:t>
            </w:r>
          </w:p>
        </w:tc>
        <w:tc>
          <w:tcPr>
            <w:tcW w:type="dxa" w:w="3250"/>
            <w:tcMar>
              <w:top w:w="80" w:type="dxa"/>
              <w:bottom w:w="80" w:type="dxa"/>
              <w:left w:w="120" w:type="dxa"/>
              <w:right w:w="120" w:type="dxa"/>
            </w:tcMar>
            <w:shd w:fill="F1F5F9"/>
          </w:tcPr>
          <w:p>
            <w:pPr>
              <w:jc w:val="right"/>
            </w:pPr>
            <w:r>
              <w:rPr>
                <w:rFonts w:ascii="Segoe UI" w:hAnsi="Segoe UI"/>
                <w:sz w:val="18"/>
              </w:rPr>
              <w:t>230.00</w:t>
            </w:r>
          </w:p>
        </w:tc>
        <w:tc>
          <w:tcPr>
            <w:tcW w:type="dxa" w:w="3250"/>
            <w:tcMar>
              <w:top w:w="80" w:type="dxa"/>
              <w:bottom w:w="80" w:type="dxa"/>
              <w:left w:w="120" w:type="dxa"/>
              <w:right w:w="120" w:type="dxa"/>
            </w:tcMar>
            <w:shd w:fill="F1F5F9"/>
          </w:tcPr>
          <w:p>
            <w:pPr>
              <w:jc w:val="right"/>
            </w:pPr>
            <w:r>
              <w:rPr>
                <w:rFonts w:ascii="Segoe UI" w:hAnsi="Segoe UI"/>
                <w:sz w:val="18"/>
              </w:rPr>
              <w:t>230.00</w:t>
            </w:r>
          </w:p>
        </w:tc>
      </w:tr>
      <w:tr>
        <w:tc>
          <w:tcPr>
            <w:tcW w:type="dxa" w:w="3250"/>
            <w:tcMar>
              <w:top w:w="80" w:type="dxa"/>
              <w:bottom w:w="80" w:type="dxa"/>
              <w:left w:w="120" w:type="dxa"/>
              <w:right w:w="120" w:type="dxa"/>
            </w:tcMar>
          </w:tcPr>
          <w:p>
            <w:r>
              <w:rPr>
                <w:rFonts w:ascii="Segoe UI" w:hAnsi="Segoe UI"/>
                <w:sz w:val="18"/>
              </w:rPr>
              <w:t xml:space="preserve">    Add: Transfer during the year</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Closing General Reserve  (A)</w:t>
            </w:r>
          </w:p>
        </w:tc>
        <w:tc>
          <w:tcPr>
            <w:tcW w:type="dxa" w:w="3250"/>
            <w:tcMar>
              <w:top w:w="80" w:type="dxa"/>
              <w:bottom w:w="80" w:type="dxa"/>
              <w:left w:w="120" w:type="dxa"/>
              <w:right w:w="120" w:type="dxa"/>
            </w:tcMar>
            <w:shd w:fill="F1F5F9"/>
          </w:tcPr>
          <w:p>
            <w:pPr>
              <w:jc w:val="right"/>
            </w:pPr>
            <w:r>
              <w:rPr>
                <w:rFonts w:ascii="Segoe UI" w:hAnsi="Segoe UI"/>
                <w:sz w:val="18"/>
              </w:rPr>
              <w:t>230.00</w:t>
            </w:r>
          </w:p>
        </w:tc>
        <w:tc>
          <w:tcPr>
            <w:tcW w:type="dxa" w:w="3250"/>
            <w:tcMar>
              <w:top w:w="80" w:type="dxa"/>
              <w:bottom w:w="80" w:type="dxa"/>
              <w:left w:w="120" w:type="dxa"/>
              <w:right w:w="120" w:type="dxa"/>
            </w:tcMar>
            <w:shd w:fill="F1F5F9"/>
          </w:tcPr>
          <w:p>
            <w:pPr>
              <w:jc w:val="right"/>
            </w:pPr>
            <w:r>
              <w:rPr>
                <w:rFonts w:ascii="Segoe UI" w:hAnsi="Segoe UI"/>
                <w:sz w:val="18"/>
              </w:rPr>
              <w:t>230.00</w:t>
            </w:r>
          </w:p>
        </w:tc>
      </w:tr>
      <w:tr>
        <w:tc>
          <w:tcPr>
            <w:tcW w:type="dxa" w:w="3250"/>
            <w:tcMar>
              <w:top w:w="80" w:type="dxa"/>
              <w:bottom w:w="80" w:type="dxa"/>
              <w:left w:w="120" w:type="dxa"/>
              <w:right w:w="120" w:type="dxa"/>
            </w:tcMar>
          </w:tcPr>
          <w:p>
            <w:r>
              <w:rPr>
                <w:rFonts w:ascii="Segoe UI" w:hAnsi="Segoe UI"/>
                <w:sz w:val="18"/>
              </w:rPr>
              <w:t>(b) Surplus in Statement of Profit &amp; Loss:</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Opening Balance</w:t>
            </w:r>
          </w:p>
        </w:tc>
        <w:tc>
          <w:tcPr>
            <w:tcW w:type="dxa" w:w="3250"/>
            <w:tcMar>
              <w:top w:w="80" w:type="dxa"/>
              <w:bottom w:w="80" w:type="dxa"/>
              <w:left w:w="120" w:type="dxa"/>
              <w:right w:w="120" w:type="dxa"/>
            </w:tcMar>
            <w:shd w:fill="F1F5F9"/>
          </w:tcPr>
          <w:p>
            <w:pPr>
              <w:jc w:val="right"/>
            </w:pPr>
            <w:r>
              <w:rPr>
                <w:rFonts w:ascii="Segoe UI" w:hAnsi="Segoe UI"/>
                <w:sz w:val="18"/>
              </w:rPr>
              <w:t>175.00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Add: Profit After Tax for the year</w:t>
            </w:r>
          </w:p>
        </w:tc>
        <w:tc>
          <w:tcPr>
            <w:tcW w:type="dxa" w:w="3250"/>
            <w:tcMar>
              <w:top w:w="80" w:type="dxa"/>
              <w:bottom w:w="80" w:type="dxa"/>
              <w:left w:w="120" w:type="dxa"/>
              <w:right w:w="120" w:type="dxa"/>
            </w:tcMar>
            <w:shd w:fill="F1F5F9"/>
          </w:tcPr>
          <w:p>
            <w:pPr>
              <w:jc w:val="right"/>
            </w:pPr>
            <w:r>
              <w:rPr>
                <w:rFonts w:ascii="Segoe UI" w:hAnsi="Segoe UI"/>
                <w:sz w:val="18"/>
              </w:rPr>
              <w:t>240.00</w:t>
            </w:r>
          </w:p>
        </w:tc>
        <w:tc>
          <w:tcPr>
            <w:tcW w:type="dxa" w:w="3250"/>
            <w:tcMar>
              <w:top w:w="80" w:type="dxa"/>
              <w:bottom w:w="80" w:type="dxa"/>
              <w:left w:w="120" w:type="dxa"/>
              <w:right w:w="120" w:type="dxa"/>
            </w:tcMar>
            <w:shd w:fill="F1F5F9"/>
          </w:tcPr>
          <w:p>
            <w:pPr>
              <w:jc w:val="right"/>
            </w:pPr>
            <w:r>
              <w:rPr>
                <w:rFonts w:ascii="Segoe UI" w:hAnsi="Segoe UI"/>
                <w:sz w:val="18"/>
              </w:rPr>
              <w:t>175.00</w:t>
            </w:r>
          </w:p>
        </w:tc>
      </w:tr>
      <w:tr>
        <w:tc>
          <w:tcPr>
            <w:tcW w:type="dxa" w:w="3250"/>
            <w:tcMar>
              <w:top w:w="80" w:type="dxa"/>
              <w:bottom w:w="80" w:type="dxa"/>
              <w:left w:w="120" w:type="dxa"/>
              <w:right w:w="120" w:type="dxa"/>
            </w:tcMar>
          </w:tcPr>
          <w:p>
            <w:r>
              <w:rPr>
                <w:rFonts w:ascii="Segoe UI" w:hAnsi="Segoe UI"/>
                <w:sz w:val="18"/>
              </w:rPr>
              <w:t xml:space="preserve">    Closing Surplus in P&amp;L  (B)</w:t>
            </w:r>
          </w:p>
        </w:tc>
        <w:tc>
          <w:tcPr>
            <w:tcW w:type="dxa" w:w="3250"/>
            <w:tcMar>
              <w:top w:w="80" w:type="dxa"/>
              <w:bottom w:w="80" w:type="dxa"/>
              <w:left w:w="120" w:type="dxa"/>
              <w:right w:w="120" w:type="dxa"/>
            </w:tcMar>
            <w:shd w:fill="F1F5F9"/>
          </w:tcPr>
          <w:p>
            <w:pPr>
              <w:jc w:val="right"/>
            </w:pPr>
            <w:r>
              <w:rPr>
                <w:rFonts w:ascii="Segoe UI" w:hAnsi="Segoe UI"/>
                <w:sz w:val="18"/>
              </w:rPr>
              <w:t>240.00</w:t>
            </w:r>
          </w:p>
        </w:tc>
        <w:tc>
          <w:tcPr>
            <w:tcW w:type="dxa" w:w="3250"/>
            <w:tcMar>
              <w:top w:w="80" w:type="dxa"/>
              <w:bottom w:w="80" w:type="dxa"/>
              <w:left w:w="120" w:type="dxa"/>
              <w:right w:w="120" w:type="dxa"/>
            </w:tcMar>
            <w:shd w:fill="F1F5F9"/>
          </w:tcPr>
          <w:p>
            <w:pPr>
              <w:jc w:val="right"/>
            </w:pPr>
            <w:r>
              <w:rPr>
                <w:rFonts w:ascii="Segoe UI" w:hAnsi="Segoe UI"/>
                <w:sz w:val="18"/>
              </w:rPr>
              <w:t>175.00</w:t>
            </w:r>
          </w:p>
        </w:tc>
      </w:tr>
      <w:tr>
        <w:tc>
          <w:tcPr>
            <w:tcW w:type="dxa" w:w="3250"/>
            <w:tcMar>
              <w:top w:w="80" w:type="dxa"/>
              <w:bottom w:w="80" w:type="dxa"/>
              <w:left w:w="120" w:type="dxa"/>
              <w:right w:w="120" w:type="dxa"/>
            </w:tcMar>
          </w:tcPr>
          <w:p>
            <w:r>
              <w:rPr>
                <w:rFonts w:ascii="Segoe UI" w:hAnsi="Segoe UI"/>
                <w:b/>
                <w:sz w:val="18"/>
              </w:rPr>
              <w:t>TOTAL RESERVES AND SURPLUS  (A + B)</w:t>
            </w:r>
          </w:p>
        </w:tc>
        <w:tc>
          <w:tcPr>
            <w:tcW w:type="dxa" w:w="3250"/>
            <w:tcMar>
              <w:top w:w="80" w:type="dxa"/>
              <w:bottom w:w="80" w:type="dxa"/>
              <w:left w:w="120" w:type="dxa"/>
              <w:right w:w="120" w:type="dxa"/>
            </w:tcMar>
            <w:shd w:fill="F1F5F9"/>
          </w:tcPr>
          <w:p>
            <w:pPr>
              <w:jc w:val="right"/>
            </w:pPr>
            <w:r>
              <w:rPr>
                <w:rFonts w:ascii="Segoe UI" w:hAnsi="Segoe UI"/>
                <w:b/>
                <w:sz w:val="18"/>
              </w:rPr>
              <w:t>570.00</w:t>
            </w:r>
          </w:p>
        </w:tc>
        <w:tc>
          <w:tcPr>
            <w:tcW w:type="dxa" w:w="3250"/>
            <w:tcMar>
              <w:top w:w="80" w:type="dxa"/>
              <w:bottom w:w="80" w:type="dxa"/>
              <w:left w:w="120" w:type="dxa"/>
              <w:right w:w="120" w:type="dxa"/>
            </w:tcMar>
            <w:shd w:fill="F1F5F9"/>
          </w:tcPr>
          <w:p>
            <w:pPr>
              <w:jc w:val="right"/>
            </w:pPr>
            <w:r>
              <w:rPr>
                <w:rFonts w:ascii="Segoe UI" w:hAnsi="Segoe UI"/>
                <w:b/>
                <w:sz w:val="18"/>
              </w:rPr>
              <w:t>405.00</w:t>
            </w:r>
          </w:p>
        </w:tc>
      </w:tr>
    </w:tbl>
    <w:p/>
    <w:p>
      <w:pPr>
        <w:spacing w:after="160"/>
      </w:pPr>
      <w:r>
        <w:rPr>
          <w:rFonts w:ascii="Segoe UI" w:hAnsi="Segoe UI"/>
          <w:sz w:val="18"/>
        </w:rPr>
        <w:t>Reserves &amp; Surplus includes General Reserve carried forward from prior years and current-year Surplus in the Statement of Profit and Loss.</w:t>
      </w:r>
    </w:p>
    <w:p>
      <w:pPr>
        <w:keepNext/>
        <w:spacing w:before="200" w:after="40"/>
      </w:pPr>
      <w:r>
        <w:rPr>
          <w:rFonts w:ascii="Segoe UI" w:hAnsi="Segoe UI"/>
          <w:b/>
          <w:color w:val="1B365D"/>
          <w:sz w:val="21"/>
        </w:rPr>
        <w:t>NOTE 2.1: LONG-TERM BORROWINGS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HDFC Bank Limited - Rupee Term Loan (Secured)</w:t>
            </w:r>
          </w:p>
        </w:tc>
        <w:tc>
          <w:tcPr>
            <w:tcW w:type="dxa" w:w="3250"/>
            <w:tcMar>
              <w:top w:w="80" w:type="dxa"/>
              <w:bottom w:w="80" w:type="dxa"/>
              <w:left w:w="120" w:type="dxa"/>
              <w:right w:w="120" w:type="dxa"/>
            </w:tcMar>
            <w:shd w:fill="F1F5F9"/>
          </w:tcPr>
          <w:p>
            <w:pPr>
              <w:jc w:val="right"/>
            </w:pPr>
            <w:r>
              <w:rPr>
                <w:rFonts w:ascii="Segoe UI" w:hAnsi="Segoe UI"/>
                <w:sz w:val="18"/>
              </w:rPr>
              <w:t>250.00</w:t>
            </w:r>
          </w:p>
        </w:tc>
        <w:tc>
          <w:tcPr>
            <w:tcW w:type="dxa" w:w="3250"/>
            <w:tcMar>
              <w:top w:w="80" w:type="dxa"/>
              <w:bottom w:w="80" w:type="dxa"/>
              <w:left w:w="120" w:type="dxa"/>
              <w:right w:w="120" w:type="dxa"/>
            </w:tcMar>
            <w:shd w:fill="F1F5F9"/>
          </w:tcPr>
          <w:p>
            <w:pPr>
              <w:jc w:val="right"/>
            </w:pPr>
            <w:r>
              <w:rPr>
                <w:rFonts w:ascii="Segoe UI" w:hAnsi="Segoe UI"/>
                <w:sz w:val="18"/>
              </w:rPr>
              <w:t>300.00</w:t>
            </w:r>
          </w:p>
        </w:tc>
      </w:tr>
      <w:tr>
        <w:tc>
          <w:tcPr>
            <w:tcW w:type="dxa" w:w="3250"/>
            <w:tcMar>
              <w:top w:w="80" w:type="dxa"/>
              <w:bottom w:w="80" w:type="dxa"/>
              <w:left w:w="120" w:type="dxa"/>
              <w:right w:w="120" w:type="dxa"/>
            </w:tcMar>
          </w:tcPr>
          <w:p>
            <w:r>
              <w:rPr>
                <w:rFonts w:ascii="Segoe UI" w:hAnsi="Segoe UI"/>
                <w:b/>
                <w:sz w:val="18"/>
              </w:rPr>
              <w:t>TOTAL LONG-TERM BORROWINGS</w:t>
            </w:r>
          </w:p>
        </w:tc>
        <w:tc>
          <w:tcPr>
            <w:tcW w:type="dxa" w:w="3250"/>
            <w:tcMar>
              <w:top w:w="80" w:type="dxa"/>
              <w:bottom w:w="80" w:type="dxa"/>
              <w:left w:w="120" w:type="dxa"/>
              <w:right w:w="120" w:type="dxa"/>
            </w:tcMar>
            <w:shd w:fill="F1F5F9"/>
          </w:tcPr>
          <w:p>
            <w:pPr>
              <w:jc w:val="right"/>
            </w:pPr>
            <w:r>
              <w:rPr>
                <w:rFonts w:ascii="Segoe UI" w:hAnsi="Segoe UI"/>
                <w:b/>
                <w:sz w:val="18"/>
              </w:rPr>
              <w:t>250.00</w:t>
            </w:r>
          </w:p>
        </w:tc>
        <w:tc>
          <w:tcPr>
            <w:tcW w:type="dxa" w:w="3250"/>
            <w:tcMar>
              <w:top w:w="80" w:type="dxa"/>
              <w:bottom w:w="80" w:type="dxa"/>
              <w:left w:w="120" w:type="dxa"/>
              <w:right w:w="120" w:type="dxa"/>
            </w:tcMar>
            <w:shd w:fill="F1F5F9"/>
          </w:tcPr>
          <w:p>
            <w:pPr>
              <w:jc w:val="right"/>
            </w:pPr>
            <w:r>
              <w:rPr>
                <w:rFonts w:ascii="Segoe UI" w:hAnsi="Segoe UI"/>
                <w:b/>
                <w:sz w:val="18"/>
              </w:rPr>
              <w:t>300.00</w:t>
            </w:r>
          </w:p>
        </w:tc>
      </w:tr>
    </w:tbl>
    <w:p/>
    <w:p>
      <w:pPr>
        <w:spacing w:after="160"/>
      </w:pPr>
      <w:r>
        <w:rPr>
          <w:rFonts w:ascii="Segoe UI" w:hAnsi="Segoe UI"/>
          <w:sz w:val="18"/>
        </w:rPr>
        <w:t>Security Details: Term loans from banks are secured by primary charge on Fixed Assets (Land, Building &amp; Plant and Machinery).</w:t>
        <w:br/>
        <w:t>Repayment: Structured monthly instalments over 60 months at 8.50% p.a. (floating).</w:t>
        <w:br/>
        <w:t>Defaults: The Company has not defaulted in repayment of principal or interest during the year.</w:t>
      </w:r>
    </w:p>
    <w:p>
      <w:pPr>
        <w:keepNext/>
        <w:spacing w:before="200" w:after="40"/>
      </w:pPr>
      <w:r>
        <w:rPr>
          <w:rFonts w:ascii="Segoe UI" w:hAnsi="Segoe UI"/>
          <w:b/>
          <w:color w:val="1B365D"/>
          <w:sz w:val="21"/>
        </w:rPr>
        <w:t>NOTE 2.2: LONG-TERM PROVISIONS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Provision for Gratuity (AS 15 - Defined Benefit)</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Provision for Leave Encashment (Long-term portion)</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b/>
                <w:sz w:val="18"/>
              </w:rPr>
              <w:t>TOTAL LONG-TERM PROVISIONS</w:t>
            </w:r>
          </w:p>
        </w:tc>
        <w:tc>
          <w:tcPr>
            <w:tcW w:type="dxa" w:w="3250"/>
            <w:tcMar>
              <w:top w:w="80" w:type="dxa"/>
              <w:bottom w:w="80" w:type="dxa"/>
              <w:left w:w="120" w:type="dxa"/>
              <w:right w:w="120" w:type="dxa"/>
            </w:tcMar>
            <w:shd w:fill="F1F5F9"/>
          </w:tcPr>
          <w:p>
            <w:pPr>
              <w:jc w:val="right"/>
            </w:pPr>
            <w:r>
              <w:rPr>
                <w:rFonts w:ascii="Segoe UI" w:hAnsi="Segoe UI"/>
                <w:b/>
                <w:sz w:val="18"/>
              </w:rPr>
              <w:t>0.00</w:t>
            </w:r>
          </w:p>
        </w:tc>
        <w:tc>
          <w:tcPr>
            <w:tcW w:type="dxa" w:w="3250"/>
            <w:tcMar>
              <w:top w:w="80" w:type="dxa"/>
              <w:bottom w:w="80" w:type="dxa"/>
              <w:left w:w="120" w:type="dxa"/>
              <w:right w:w="120" w:type="dxa"/>
            </w:tcMar>
            <w:shd w:fill="F1F5F9"/>
          </w:tcPr>
          <w:p>
            <w:pPr>
              <w:jc w:val="right"/>
            </w:pPr>
            <w:r>
              <w:rPr>
                <w:rFonts w:ascii="Segoe UI" w:hAnsi="Segoe UI"/>
                <w:b/>
                <w:sz w:val="18"/>
              </w:rPr>
              <w:t>0.00</w:t>
            </w:r>
          </w:p>
        </w:tc>
      </w:tr>
    </w:tbl>
    <w:p/>
    <w:p>
      <w:pPr>
        <w:spacing w:after="160"/>
      </w:pPr>
      <w:r>
        <w:rPr>
          <w:rFonts w:ascii="Segoe UI" w:hAnsi="Segoe UI"/>
          <w:sz w:val="18"/>
        </w:rPr>
        <w:t>Provision for Gratuity is made based on actuarial valuation as per AS 15 (Revised 2005). Leave encashment long-term portion represents unavailed leaves expected to be encashed after 12 months.</w:t>
      </w:r>
    </w:p>
    <w:p>
      <w:pPr>
        <w:keepNext/>
        <w:spacing w:before="200" w:after="40"/>
      </w:pPr>
      <w:r>
        <w:rPr>
          <w:rFonts w:ascii="Segoe UI" w:hAnsi="Segoe UI"/>
          <w:b/>
          <w:color w:val="1B365D"/>
          <w:sz w:val="21"/>
        </w:rPr>
        <w:t>NOTE 3.1: SHORT-TERM BORROWINGS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ICICI Bank Limited - Working Capital Cash Credit Limit</w:t>
            </w:r>
          </w:p>
        </w:tc>
        <w:tc>
          <w:tcPr>
            <w:tcW w:type="dxa" w:w="3250"/>
            <w:tcMar>
              <w:top w:w="80" w:type="dxa"/>
              <w:bottom w:w="80" w:type="dxa"/>
              <w:left w:w="120" w:type="dxa"/>
              <w:right w:w="120" w:type="dxa"/>
            </w:tcMar>
            <w:shd w:fill="F1F5F9"/>
          </w:tcPr>
          <w:p>
            <w:pPr>
              <w:jc w:val="right"/>
            </w:pPr>
            <w:r>
              <w:rPr>
                <w:rFonts w:ascii="Segoe UI" w:hAnsi="Segoe UI"/>
                <w:sz w:val="18"/>
              </w:rPr>
              <w:t>80.00</w:t>
            </w:r>
          </w:p>
        </w:tc>
        <w:tc>
          <w:tcPr>
            <w:tcW w:type="dxa" w:w="3250"/>
            <w:tcMar>
              <w:top w:w="80" w:type="dxa"/>
              <w:bottom w:w="80" w:type="dxa"/>
              <w:left w:w="120" w:type="dxa"/>
              <w:right w:w="120" w:type="dxa"/>
            </w:tcMar>
            <w:shd w:fill="F1F5F9"/>
          </w:tcPr>
          <w:p>
            <w:pPr>
              <w:jc w:val="right"/>
            </w:pPr>
            <w:r>
              <w:rPr>
                <w:rFonts w:ascii="Segoe UI" w:hAnsi="Segoe UI"/>
                <w:sz w:val="18"/>
              </w:rPr>
              <w:t>60.00</w:t>
            </w:r>
          </w:p>
        </w:tc>
      </w:tr>
      <w:tr>
        <w:tc>
          <w:tcPr>
            <w:tcW w:type="dxa" w:w="3250"/>
            <w:tcMar>
              <w:top w:w="80" w:type="dxa"/>
              <w:bottom w:w="80" w:type="dxa"/>
              <w:left w:w="120" w:type="dxa"/>
              <w:right w:w="120" w:type="dxa"/>
            </w:tcMar>
          </w:tcPr>
          <w:p>
            <w:r>
              <w:rPr>
                <w:rFonts w:ascii="Segoe UI" w:hAnsi="Segoe UI"/>
                <w:b/>
                <w:sz w:val="18"/>
              </w:rPr>
              <w:t>TOTAL SHORT-TERM BORROWINGS</w:t>
            </w:r>
          </w:p>
        </w:tc>
        <w:tc>
          <w:tcPr>
            <w:tcW w:type="dxa" w:w="3250"/>
            <w:tcMar>
              <w:top w:w="80" w:type="dxa"/>
              <w:bottom w:w="80" w:type="dxa"/>
              <w:left w:w="120" w:type="dxa"/>
              <w:right w:w="120" w:type="dxa"/>
            </w:tcMar>
            <w:shd w:fill="F1F5F9"/>
          </w:tcPr>
          <w:p>
            <w:pPr>
              <w:jc w:val="right"/>
            </w:pPr>
            <w:r>
              <w:rPr>
                <w:rFonts w:ascii="Segoe UI" w:hAnsi="Segoe UI"/>
                <w:b/>
                <w:sz w:val="18"/>
              </w:rPr>
              <w:t>80.00</w:t>
            </w:r>
          </w:p>
        </w:tc>
        <w:tc>
          <w:tcPr>
            <w:tcW w:type="dxa" w:w="3250"/>
            <w:tcMar>
              <w:top w:w="80" w:type="dxa"/>
              <w:bottom w:w="80" w:type="dxa"/>
              <w:left w:w="120" w:type="dxa"/>
              <w:right w:w="120" w:type="dxa"/>
            </w:tcMar>
            <w:shd w:fill="F1F5F9"/>
          </w:tcPr>
          <w:p>
            <w:pPr>
              <w:jc w:val="right"/>
            </w:pPr>
            <w:r>
              <w:rPr>
                <w:rFonts w:ascii="Segoe UI" w:hAnsi="Segoe UI"/>
                <w:b/>
                <w:sz w:val="18"/>
              </w:rPr>
              <w:t>60.00</w:t>
            </w:r>
          </w:p>
        </w:tc>
      </w:tr>
    </w:tbl>
    <w:p/>
    <w:p>
      <w:pPr>
        <w:spacing w:after="160"/>
      </w:pPr>
      <w:r>
        <w:rPr>
          <w:rFonts w:ascii="Segoe UI" w:hAnsi="Segoe UI"/>
          <w:sz w:val="18"/>
        </w:rPr>
        <w:t>Working capital cash credit facilities from banks are secured by hypothecation of current assets (inventories and trade receivables) at 9.25% p.a. (floating). Facility is repayable on demand.</w:t>
      </w:r>
    </w:p>
    <w:p>
      <w:pPr>
        <w:keepNext/>
        <w:spacing w:before="200" w:after="40"/>
      </w:pPr>
      <w:r>
        <w:rPr>
          <w:rFonts w:ascii="Segoe UI" w:hAnsi="Segoe UI"/>
          <w:b/>
          <w:color w:val="1B365D"/>
          <w:sz w:val="21"/>
        </w:rPr>
        <w:t>NOTE 3.2: TRADE PAYABLES</w:t>
      </w:r>
    </w:p>
    <w:tbl>
      <w:tblPr>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1393"/>
            <w:shd w:fill="1B365D"/>
            <w:tcMar>
              <w:top w:w="120" w:type="dxa"/>
              <w:bottom w:w="120" w:type="dxa"/>
              <w:left w:w="150" w:type="dxa"/>
              <w:right w:w="150" w:type="dxa"/>
            </w:tcMar>
          </w:tcPr>
          <w:p>
            <w:pPr>
              <w:jc w:val="center"/>
            </w:pPr>
            <w:r>
              <w:t>Vendor Name</w:t>
            </w:r>
          </w:p>
        </w:tc>
        <w:tc>
          <w:tcPr>
            <w:tcW w:type="dxa" w:w="1393"/>
            <w:shd w:fill="1B365D"/>
            <w:tcMar>
              <w:top w:w="120" w:type="dxa"/>
              <w:bottom w:w="120" w:type="dxa"/>
              <w:left w:w="150" w:type="dxa"/>
              <w:right w:w="150" w:type="dxa"/>
            </w:tcMar>
          </w:tcPr>
          <w:p>
            <w:pPr>
              <w:jc w:val="center"/>
            </w:pPr>
            <w:r>
              <w:t>MSME</w:t>
            </w:r>
          </w:p>
        </w:tc>
        <w:tc>
          <w:tcPr>
            <w:tcW w:type="dxa" w:w="1393"/>
            <w:shd w:fill="1B365D"/>
            <w:tcMar>
              <w:top w:w="120" w:type="dxa"/>
              <w:bottom w:w="120" w:type="dxa"/>
              <w:left w:w="150" w:type="dxa"/>
              <w:right w:w="150" w:type="dxa"/>
            </w:tcMar>
          </w:tcPr>
          <w:p>
            <w:pPr>
              <w:jc w:val="center"/>
            </w:pPr>
            <w:r>
              <w:t>&lt; 1 Year</w:t>
            </w:r>
          </w:p>
        </w:tc>
        <w:tc>
          <w:tcPr>
            <w:tcW w:type="dxa" w:w="1393"/>
            <w:shd w:fill="1B365D"/>
            <w:tcMar>
              <w:top w:w="120" w:type="dxa"/>
              <w:bottom w:w="120" w:type="dxa"/>
              <w:left w:w="150" w:type="dxa"/>
              <w:right w:w="150" w:type="dxa"/>
            </w:tcMar>
          </w:tcPr>
          <w:p>
            <w:pPr>
              <w:jc w:val="center"/>
            </w:pPr>
            <w:r>
              <w:t>1-2 Years</w:t>
            </w:r>
          </w:p>
        </w:tc>
        <w:tc>
          <w:tcPr>
            <w:tcW w:type="dxa" w:w="1393"/>
            <w:shd w:fill="1B365D"/>
            <w:tcMar>
              <w:top w:w="120" w:type="dxa"/>
              <w:bottom w:w="120" w:type="dxa"/>
              <w:left w:w="150" w:type="dxa"/>
              <w:right w:w="150" w:type="dxa"/>
            </w:tcMar>
          </w:tcPr>
          <w:p>
            <w:pPr>
              <w:jc w:val="center"/>
            </w:pPr>
            <w:r>
              <w:t>2-3 Years</w:t>
            </w:r>
          </w:p>
        </w:tc>
        <w:tc>
          <w:tcPr>
            <w:tcW w:type="dxa" w:w="1393"/>
            <w:shd w:fill="1B365D"/>
            <w:tcMar>
              <w:top w:w="120" w:type="dxa"/>
              <w:bottom w:w="120" w:type="dxa"/>
              <w:left w:w="150" w:type="dxa"/>
              <w:right w:w="150" w:type="dxa"/>
            </w:tcMar>
          </w:tcPr>
          <w:p>
            <w:pPr>
              <w:jc w:val="center"/>
            </w:pPr>
            <w:r>
              <w:t>&gt; 3 Years</w:t>
            </w:r>
          </w:p>
        </w:tc>
        <w:tc>
          <w:tcPr>
            <w:tcW w:type="dxa" w:w="1393"/>
            <w:shd w:fill="1B365D"/>
            <w:tcMar>
              <w:top w:w="120" w:type="dxa"/>
              <w:bottom w:w="120" w:type="dxa"/>
              <w:left w:w="150" w:type="dxa"/>
              <w:right w:w="150" w:type="dxa"/>
            </w:tcMar>
          </w:tcPr>
          <w:p>
            <w:pPr>
              <w:jc w:val="center"/>
            </w:pPr>
            <w:r>
              <w:t>Total Outstanding</w:t>
            </w:r>
          </w:p>
        </w:tc>
      </w:tr>
      <w:tr>
        <w:tc>
          <w:tcPr>
            <w:tcW w:type="dxa" w:w="1393"/>
            <w:tcMar>
              <w:top w:w="80" w:type="dxa"/>
              <w:bottom w:w="80" w:type="dxa"/>
              <w:left w:w="120" w:type="dxa"/>
              <w:right w:w="120" w:type="dxa"/>
            </w:tcMar>
          </w:tcPr>
          <w:p>
            <w:r>
              <w:rPr>
                <w:rFonts w:ascii="Segoe UI" w:hAnsi="Segoe UI"/>
                <w:sz w:val="18"/>
              </w:rPr>
              <w:t>Shree Metals &amp; Alloys Pvt Ltd (MSME)</w:t>
            </w:r>
          </w:p>
        </w:tc>
        <w:tc>
          <w:tcPr>
            <w:tcW w:type="dxa" w:w="1393"/>
            <w:tcMar>
              <w:top w:w="80" w:type="dxa"/>
              <w:bottom w:w="80" w:type="dxa"/>
              <w:left w:w="120" w:type="dxa"/>
              <w:right w:w="120" w:type="dxa"/>
            </w:tcMar>
            <w:shd w:fill="F1F5F9"/>
          </w:tcPr>
          <w:p>
            <w:pPr>
              <w:jc w:val="right"/>
            </w:pPr>
            <w:r>
              <w:rPr>
                <w:rFonts w:ascii="Segoe UI" w:hAnsi="Segoe UI"/>
                <w:sz w:val="18"/>
              </w:rPr>
              <w:t>Yes</w:t>
            </w:r>
          </w:p>
        </w:tc>
        <w:tc>
          <w:tcPr>
            <w:tcW w:type="dxa" w:w="1393"/>
            <w:tcMar>
              <w:top w:w="80" w:type="dxa"/>
              <w:bottom w:w="80" w:type="dxa"/>
              <w:left w:w="120" w:type="dxa"/>
              <w:right w:w="120" w:type="dxa"/>
            </w:tcMar>
            <w:shd w:fill="F1F5F9"/>
          </w:tcPr>
          <w:p>
            <w:pPr>
              <w:jc w:val="right"/>
            </w:pPr>
            <w:r>
              <w:rPr>
                <w:rFonts w:ascii="Segoe UI" w:hAnsi="Segoe UI"/>
                <w:sz w:val="18"/>
              </w:rPr>
              <w:t>60.00</w:t>
            </w:r>
          </w:p>
        </w:tc>
        <w:tc>
          <w:tcPr>
            <w:tcW w:type="dxa" w:w="1393"/>
            <w:tcMar>
              <w:top w:w="80" w:type="dxa"/>
              <w:bottom w:w="80" w:type="dxa"/>
              <w:left w:w="120" w:type="dxa"/>
              <w:right w:w="120" w:type="dxa"/>
            </w:tcMar>
            <w:shd w:fill="F1F5F9"/>
          </w:tcPr>
          <w:p>
            <w:pPr>
              <w:jc w:val="right"/>
            </w:pPr>
            <w:r>
              <w:rPr>
                <w:rFonts w:ascii="Segoe UI" w:hAnsi="Segoe UI"/>
                <w:sz w:val="18"/>
              </w:rPr>
              <w:t>5.00</w:t>
            </w:r>
          </w:p>
        </w:tc>
        <w:tc>
          <w:tcPr>
            <w:tcW w:type="dxa" w:w="1393"/>
            <w:tcMar>
              <w:top w:w="80" w:type="dxa"/>
              <w:bottom w:w="80" w:type="dxa"/>
              <w:left w:w="120" w:type="dxa"/>
              <w:right w:w="120" w:type="dxa"/>
            </w:tcMar>
            <w:shd w:fill="F1F5F9"/>
          </w:tcPr>
          <w:p>
            <w:pPr>
              <w:jc w:val="right"/>
            </w:pPr>
            <w:r>
              <w:rPr>
                <w:rFonts w:ascii="Segoe UI" w:hAnsi="Segoe UI"/>
                <w:sz w:val="18"/>
              </w:rPr>
              <w:t>0.00</w:t>
            </w:r>
          </w:p>
        </w:tc>
        <w:tc>
          <w:tcPr>
            <w:tcW w:type="dxa" w:w="1393"/>
            <w:tcMar>
              <w:top w:w="80" w:type="dxa"/>
              <w:bottom w:w="80" w:type="dxa"/>
              <w:left w:w="120" w:type="dxa"/>
              <w:right w:w="120" w:type="dxa"/>
            </w:tcMar>
            <w:shd w:fill="F1F5F9"/>
          </w:tcPr>
          <w:p>
            <w:pPr>
              <w:jc w:val="right"/>
            </w:pPr>
            <w:r>
              <w:rPr>
                <w:rFonts w:ascii="Segoe UI" w:hAnsi="Segoe UI"/>
                <w:sz w:val="18"/>
              </w:rPr>
              <w:t>0.00</w:t>
            </w:r>
          </w:p>
        </w:tc>
        <w:tc>
          <w:tcPr>
            <w:tcW w:type="dxa" w:w="1393"/>
            <w:tcMar>
              <w:top w:w="80" w:type="dxa"/>
              <w:bottom w:w="80" w:type="dxa"/>
              <w:left w:w="120" w:type="dxa"/>
              <w:right w:w="120" w:type="dxa"/>
            </w:tcMar>
            <w:shd w:fill="F1F5F9"/>
          </w:tcPr>
          <w:p>
            <w:pPr>
              <w:jc w:val="right"/>
            </w:pPr>
            <w:r>
              <w:rPr>
                <w:rFonts w:ascii="Segoe UI" w:hAnsi="Segoe UI"/>
                <w:sz w:val="18"/>
              </w:rPr>
              <w:t>65.00</w:t>
            </w:r>
          </w:p>
        </w:tc>
      </w:tr>
      <w:tr>
        <w:tc>
          <w:tcPr>
            <w:tcW w:type="dxa" w:w="1393"/>
            <w:tcMar>
              <w:top w:w="80" w:type="dxa"/>
              <w:bottom w:w="80" w:type="dxa"/>
              <w:left w:w="120" w:type="dxa"/>
              <w:right w:w="120" w:type="dxa"/>
            </w:tcMar>
          </w:tcPr>
          <w:p>
            <w:r>
              <w:rPr>
                <w:rFonts w:ascii="Segoe UI" w:hAnsi="Segoe UI"/>
                <w:sz w:val="18"/>
              </w:rPr>
              <w:t>Global Industrial Suppliers Inc</w:t>
            </w:r>
          </w:p>
        </w:tc>
        <w:tc>
          <w:tcPr>
            <w:tcW w:type="dxa" w:w="1393"/>
            <w:tcMar>
              <w:top w:w="80" w:type="dxa"/>
              <w:bottom w:w="80" w:type="dxa"/>
              <w:left w:w="120" w:type="dxa"/>
              <w:right w:w="120" w:type="dxa"/>
            </w:tcMar>
            <w:shd w:fill="F1F5F9"/>
          </w:tcPr>
          <w:p>
            <w:pPr>
              <w:jc w:val="right"/>
            </w:pPr>
            <w:r>
              <w:rPr>
                <w:rFonts w:ascii="Segoe UI" w:hAnsi="Segoe UI"/>
                <w:sz w:val="18"/>
              </w:rPr>
              <w:t>No</w:t>
            </w:r>
          </w:p>
        </w:tc>
        <w:tc>
          <w:tcPr>
            <w:tcW w:type="dxa" w:w="1393"/>
            <w:tcMar>
              <w:top w:w="80" w:type="dxa"/>
              <w:bottom w:w="80" w:type="dxa"/>
              <w:left w:w="120" w:type="dxa"/>
              <w:right w:w="120" w:type="dxa"/>
            </w:tcMar>
            <w:shd w:fill="F1F5F9"/>
          </w:tcPr>
          <w:p>
            <w:pPr>
              <w:jc w:val="right"/>
            </w:pPr>
            <w:r>
              <w:rPr>
                <w:rFonts w:ascii="Segoe UI" w:hAnsi="Segoe UI"/>
                <w:sz w:val="18"/>
              </w:rPr>
              <w:t>110.00</w:t>
            </w:r>
          </w:p>
        </w:tc>
        <w:tc>
          <w:tcPr>
            <w:tcW w:type="dxa" w:w="1393"/>
            <w:tcMar>
              <w:top w:w="80" w:type="dxa"/>
              <w:bottom w:w="80" w:type="dxa"/>
              <w:left w:w="120" w:type="dxa"/>
              <w:right w:w="120" w:type="dxa"/>
            </w:tcMar>
            <w:shd w:fill="F1F5F9"/>
          </w:tcPr>
          <w:p>
            <w:pPr>
              <w:jc w:val="right"/>
            </w:pPr>
            <w:r>
              <w:rPr>
                <w:rFonts w:ascii="Segoe UI" w:hAnsi="Segoe UI"/>
                <w:sz w:val="18"/>
              </w:rPr>
              <w:t>10.00</w:t>
            </w:r>
          </w:p>
        </w:tc>
        <w:tc>
          <w:tcPr>
            <w:tcW w:type="dxa" w:w="1393"/>
            <w:tcMar>
              <w:top w:w="80" w:type="dxa"/>
              <w:bottom w:w="80" w:type="dxa"/>
              <w:left w:w="120" w:type="dxa"/>
              <w:right w:w="120" w:type="dxa"/>
            </w:tcMar>
            <w:shd w:fill="F1F5F9"/>
          </w:tcPr>
          <w:p>
            <w:pPr>
              <w:jc w:val="right"/>
            </w:pPr>
            <w:r>
              <w:rPr>
                <w:rFonts w:ascii="Segoe UI" w:hAnsi="Segoe UI"/>
                <w:sz w:val="18"/>
              </w:rPr>
              <w:t>0.00</w:t>
            </w:r>
          </w:p>
        </w:tc>
        <w:tc>
          <w:tcPr>
            <w:tcW w:type="dxa" w:w="1393"/>
            <w:tcMar>
              <w:top w:w="80" w:type="dxa"/>
              <w:bottom w:w="80" w:type="dxa"/>
              <w:left w:w="120" w:type="dxa"/>
              <w:right w:w="120" w:type="dxa"/>
            </w:tcMar>
            <w:shd w:fill="F1F5F9"/>
          </w:tcPr>
          <w:p>
            <w:pPr>
              <w:jc w:val="right"/>
            </w:pPr>
            <w:r>
              <w:rPr>
                <w:rFonts w:ascii="Segoe UI" w:hAnsi="Segoe UI"/>
                <w:sz w:val="18"/>
              </w:rPr>
              <w:t>0.00</w:t>
            </w:r>
          </w:p>
        </w:tc>
        <w:tc>
          <w:tcPr>
            <w:tcW w:type="dxa" w:w="1393"/>
            <w:tcMar>
              <w:top w:w="80" w:type="dxa"/>
              <w:bottom w:w="80" w:type="dxa"/>
              <w:left w:w="120" w:type="dxa"/>
              <w:right w:w="120" w:type="dxa"/>
            </w:tcMar>
            <w:shd w:fill="F1F5F9"/>
          </w:tcPr>
          <w:p>
            <w:pPr>
              <w:jc w:val="right"/>
            </w:pPr>
            <w:r>
              <w:rPr>
                <w:rFonts w:ascii="Segoe UI" w:hAnsi="Segoe UI"/>
                <w:sz w:val="18"/>
              </w:rPr>
              <w:t>120.00</w:t>
            </w:r>
          </w:p>
        </w:tc>
      </w:tr>
      <w:tr>
        <w:tc>
          <w:tcPr>
            <w:tcW w:type="dxa" w:w="1393"/>
            <w:tcMar>
              <w:top w:w="80" w:type="dxa"/>
              <w:bottom w:w="80" w:type="dxa"/>
              <w:left w:w="120" w:type="dxa"/>
              <w:right w:w="120" w:type="dxa"/>
            </w:tcMar>
          </w:tcPr>
          <w:p>
            <w:r>
              <w:rPr>
                <w:rFonts w:ascii="Segoe UI" w:hAnsi="Segoe UI"/>
                <w:b/>
                <w:sz w:val="18"/>
              </w:rPr>
              <w:t>TOTAL TRADE PAYABLES</w:t>
            </w:r>
          </w:p>
        </w:tc>
        <w:tc>
          <w:tcPr>
            <w:tcW w:type="dxa" w:w="1393"/>
            <w:tcMar>
              <w:top w:w="80" w:type="dxa"/>
              <w:bottom w:w="80" w:type="dxa"/>
              <w:left w:w="120" w:type="dxa"/>
              <w:right w:w="120" w:type="dxa"/>
            </w:tcMar>
            <w:shd w:fill="F1F5F9"/>
          </w:tcPr>
          <w:p>
            <w:r>
              <w:rPr>
                <w:rFonts w:ascii="Segoe UI" w:hAnsi="Segoe UI"/>
                <w:b/>
                <w:sz w:val="18"/>
              </w:rPr>
            </w:r>
          </w:p>
        </w:tc>
        <w:tc>
          <w:tcPr>
            <w:tcW w:type="dxa" w:w="1393"/>
            <w:tcMar>
              <w:top w:w="80" w:type="dxa"/>
              <w:bottom w:w="80" w:type="dxa"/>
              <w:left w:w="120" w:type="dxa"/>
              <w:right w:w="120" w:type="dxa"/>
            </w:tcMar>
            <w:shd w:fill="F1F5F9"/>
          </w:tcPr>
          <w:p>
            <w:pPr>
              <w:jc w:val="right"/>
            </w:pPr>
            <w:r>
              <w:rPr>
                <w:rFonts w:ascii="Segoe UI" w:hAnsi="Segoe UI"/>
                <w:b/>
                <w:sz w:val="18"/>
              </w:rPr>
              <w:t>185.00</w:t>
            </w:r>
          </w:p>
        </w:tc>
        <w:tc>
          <w:tcPr>
            <w:tcW w:type="dxa" w:w="1393"/>
            <w:tcMar>
              <w:top w:w="80" w:type="dxa"/>
              <w:bottom w:w="80" w:type="dxa"/>
              <w:left w:w="120" w:type="dxa"/>
              <w:right w:w="120" w:type="dxa"/>
            </w:tcMar>
            <w:shd w:fill="F1F5F9"/>
          </w:tcPr>
          <w:p>
            <w:r>
              <w:rPr>
                <w:rFonts w:ascii="Segoe UI" w:hAnsi="Segoe UI"/>
                <w:b/>
                <w:sz w:val="18"/>
              </w:rPr>
            </w:r>
          </w:p>
        </w:tc>
        <w:tc>
          <w:tcPr>
            <w:tcW w:type="dxa" w:w="1393"/>
            <w:tcMar>
              <w:top w:w="80" w:type="dxa"/>
              <w:bottom w:w="80" w:type="dxa"/>
              <w:left w:w="120" w:type="dxa"/>
              <w:right w:w="120" w:type="dxa"/>
            </w:tcMar>
            <w:shd w:fill="F1F5F9"/>
          </w:tcPr>
          <w:p>
            <w:r>
              <w:rPr>
                <w:rFonts w:ascii="Segoe UI" w:hAnsi="Segoe UI"/>
                <w:b/>
                <w:sz w:val="18"/>
              </w:rPr>
            </w:r>
          </w:p>
        </w:tc>
        <w:tc>
          <w:tcPr>
            <w:tcW w:type="dxa" w:w="1393"/>
            <w:tcMar>
              <w:top w:w="80" w:type="dxa"/>
              <w:bottom w:w="80" w:type="dxa"/>
              <w:left w:w="120" w:type="dxa"/>
              <w:right w:w="120" w:type="dxa"/>
            </w:tcMar>
            <w:shd w:fill="F1F5F9"/>
          </w:tcPr>
          <w:p>
            <w:r>
              <w:rPr>
                <w:rFonts w:ascii="Segoe UI" w:hAnsi="Segoe UI"/>
                <w:b/>
                <w:sz w:val="18"/>
              </w:rPr>
            </w:r>
          </w:p>
        </w:tc>
        <w:tc>
          <w:tcPr>
            <w:tcW w:type="dxa" w:w="1393"/>
            <w:tcMar>
              <w:top w:w="80" w:type="dxa"/>
              <w:bottom w:w="80" w:type="dxa"/>
              <w:left w:w="120" w:type="dxa"/>
              <w:right w:w="120" w:type="dxa"/>
            </w:tcMar>
            <w:shd w:fill="F1F5F9"/>
          </w:tcPr>
          <w:p>
            <w:pPr>
              <w:jc w:val="right"/>
            </w:pPr>
            <w:r>
              <w:rPr>
                <w:rFonts w:ascii="Segoe UI" w:hAnsi="Segoe UI"/>
                <w:b/>
                <w:sz w:val="18"/>
              </w:rPr>
              <w:t>185.00</w:t>
            </w:r>
          </w:p>
        </w:tc>
      </w:tr>
    </w:tbl>
    <w:p/>
    <w:p>
      <w:pPr>
        <w:spacing w:after="160"/>
      </w:pPr>
      <w:r>
        <w:rPr>
          <w:rFonts w:ascii="Segoe UI" w:hAnsi="Segoe UI"/>
          <w:sz w:val="18"/>
        </w:rPr>
        <w:t>Trade Payables Ageing - as per Companies (Accounts) Amendment Rules 2021.</w:t>
        <w:br/>
        <w:t>MSME Disclosure: Outstanding dues payable to Micro and Small Enterprises (as certified by management) are disclosed separately.</w:t>
        <w:br/>
        <w:t>As at FY 2024-25: Dues to MSME vendors - Rs Nil (Previous Year: Rs Nil).</w:t>
      </w:r>
    </w:p>
    <w:p>
      <w:pPr>
        <w:keepNext/>
        <w:spacing w:before="200" w:after="40"/>
      </w:pPr>
      <w:r>
        <w:rPr>
          <w:rFonts w:ascii="Segoe UI" w:hAnsi="Segoe UI"/>
          <w:b/>
          <w:color w:val="1B365D"/>
          <w:sz w:val="21"/>
        </w:rPr>
        <w:t>NOTE 3.3: OTHER CURRENT LIABILITIES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Current Maturities of Long-term Borrowings</w:t>
            </w:r>
          </w:p>
        </w:tc>
        <w:tc>
          <w:tcPr>
            <w:tcW w:type="dxa" w:w="3250"/>
            <w:tcMar>
              <w:top w:w="80" w:type="dxa"/>
              <w:bottom w:w="80" w:type="dxa"/>
              <w:left w:w="120" w:type="dxa"/>
              <w:right w:w="120" w:type="dxa"/>
            </w:tcMar>
            <w:shd w:fill="F1F5F9"/>
          </w:tcPr>
          <w:p>
            <w:pPr>
              <w:jc w:val="right"/>
            </w:pPr>
            <w:r>
              <w:rPr>
                <w:rFonts w:ascii="Segoe UI" w:hAnsi="Segoe UI"/>
                <w:sz w:val="18"/>
              </w:rPr>
              <w:t>11.25</w:t>
            </w:r>
          </w:p>
        </w:tc>
        <w:tc>
          <w:tcPr>
            <w:tcW w:type="dxa" w:w="3250"/>
            <w:tcMar>
              <w:top w:w="80" w:type="dxa"/>
              <w:bottom w:w="80" w:type="dxa"/>
              <w:left w:w="120" w:type="dxa"/>
              <w:right w:w="120" w:type="dxa"/>
            </w:tcMar>
            <w:shd w:fill="F1F5F9"/>
          </w:tcPr>
          <w:p>
            <w:pPr>
              <w:jc w:val="right"/>
            </w:pPr>
            <w:r>
              <w:rPr>
                <w:rFonts w:ascii="Segoe UI" w:hAnsi="Segoe UI"/>
                <w:sz w:val="18"/>
              </w:rPr>
              <w:t>9.00</w:t>
            </w:r>
          </w:p>
        </w:tc>
      </w:tr>
      <w:tr>
        <w:tc>
          <w:tcPr>
            <w:tcW w:type="dxa" w:w="3250"/>
            <w:tcMar>
              <w:top w:w="80" w:type="dxa"/>
              <w:bottom w:w="80" w:type="dxa"/>
              <w:left w:w="120" w:type="dxa"/>
              <w:right w:w="120" w:type="dxa"/>
            </w:tcMar>
          </w:tcPr>
          <w:p>
            <w:r>
              <w:rPr>
                <w:rFonts w:ascii="Segoe UI" w:hAnsi="Segoe UI"/>
                <w:sz w:val="18"/>
              </w:rPr>
              <w:t>Interest Accrued but not Due on Borrowings</w:t>
            </w:r>
          </w:p>
        </w:tc>
        <w:tc>
          <w:tcPr>
            <w:tcW w:type="dxa" w:w="3250"/>
            <w:tcMar>
              <w:top w:w="80" w:type="dxa"/>
              <w:bottom w:w="80" w:type="dxa"/>
              <w:left w:w="120" w:type="dxa"/>
              <w:right w:w="120" w:type="dxa"/>
            </w:tcMar>
            <w:shd w:fill="F1F5F9"/>
          </w:tcPr>
          <w:p>
            <w:pPr>
              <w:jc w:val="right"/>
            </w:pPr>
            <w:r>
              <w:rPr>
                <w:rFonts w:ascii="Segoe UI" w:hAnsi="Segoe UI"/>
                <w:sz w:val="18"/>
              </w:rPr>
              <w:t>3.75</w:t>
            </w:r>
          </w:p>
        </w:tc>
        <w:tc>
          <w:tcPr>
            <w:tcW w:type="dxa" w:w="3250"/>
            <w:tcMar>
              <w:top w:w="80" w:type="dxa"/>
              <w:bottom w:w="80" w:type="dxa"/>
              <w:left w:w="120" w:type="dxa"/>
              <w:right w:w="120" w:type="dxa"/>
            </w:tcMar>
            <w:shd w:fill="F1F5F9"/>
          </w:tcPr>
          <w:p>
            <w:pPr>
              <w:jc w:val="right"/>
            </w:pPr>
            <w:r>
              <w:rPr>
                <w:rFonts w:ascii="Segoe UI" w:hAnsi="Segoe UI"/>
                <w:sz w:val="18"/>
              </w:rPr>
              <w:t>3.00</w:t>
            </w:r>
          </w:p>
        </w:tc>
      </w:tr>
      <w:tr>
        <w:tc>
          <w:tcPr>
            <w:tcW w:type="dxa" w:w="3250"/>
            <w:tcMar>
              <w:top w:w="80" w:type="dxa"/>
              <w:bottom w:w="80" w:type="dxa"/>
              <w:left w:w="120" w:type="dxa"/>
              <w:right w:w="120" w:type="dxa"/>
            </w:tcMar>
          </w:tcPr>
          <w:p>
            <w:r>
              <w:rPr>
                <w:rFonts w:ascii="Segoe UI" w:hAnsi="Segoe UI"/>
                <w:sz w:val="18"/>
              </w:rPr>
              <w:t>Advance Received from Customers</w:t>
            </w:r>
          </w:p>
        </w:tc>
        <w:tc>
          <w:tcPr>
            <w:tcW w:type="dxa" w:w="3250"/>
            <w:tcMar>
              <w:top w:w="80" w:type="dxa"/>
              <w:bottom w:w="80" w:type="dxa"/>
              <w:left w:w="120" w:type="dxa"/>
              <w:right w:w="120" w:type="dxa"/>
            </w:tcMar>
            <w:shd w:fill="F1F5F9"/>
          </w:tcPr>
          <w:p>
            <w:pPr>
              <w:jc w:val="right"/>
            </w:pPr>
            <w:r>
              <w:rPr>
                <w:rFonts w:ascii="Segoe UI" w:hAnsi="Segoe UI"/>
                <w:sz w:val="18"/>
              </w:rPr>
              <w:t>5.00</w:t>
            </w:r>
          </w:p>
        </w:tc>
        <w:tc>
          <w:tcPr>
            <w:tcW w:type="dxa" w:w="3250"/>
            <w:tcMar>
              <w:top w:w="80" w:type="dxa"/>
              <w:bottom w:w="80" w:type="dxa"/>
              <w:left w:w="120" w:type="dxa"/>
              <w:right w:w="120" w:type="dxa"/>
            </w:tcMar>
            <w:shd w:fill="F1F5F9"/>
          </w:tcPr>
          <w:p>
            <w:pPr>
              <w:jc w:val="right"/>
            </w:pPr>
            <w:r>
              <w:rPr>
                <w:rFonts w:ascii="Segoe UI" w:hAnsi="Segoe UI"/>
                <w:sz w:val="18"/>
              </w:rPr>
              <w:t>4.00</w:t>
            </w:r>
          </w:p>
        </w:tc>
      </w:tr>
      <w:tr>
        <w:tc>
          <w:tcPr>
            <w:tcW w:type="dxa" w:w="3250"/>
            <w:tcMar>
              <w:top w:w="80" w:type="dxa"/>
              <w:bottom w:w="80" w:type="dxa"/>
              <w:left w:w="120" w:type="dxa"/>
              <w:right w:w="120" w:type="dxa"/>
            </w:tcMar>
          </w:tcPr>
          <w:p>
            <w:r>
              <w:rPr>
                <w:rFonts w:ascii="Segoe UI" w:hAnsi="Segoe UI"/>
                <w:sz w:val="18"/>
              </w:rPr>
              <w:t>Statutory Liabilities (GST, TDS, PF Payable)</w:t>
            </w:r>
          </w:p>
        </w:tc>
        <w:tc>
          <w:tcPr>
            <w:tcW w:type="dxa" w:w="3250"/>
            <w:tcMar>
              <w:top w:w="80" w:type="dxa"/>
              <w:bottom w:w="80" w:type="dxa"/>
              <w:left w:w="120" w:type="dxa"/>
              <w:right w:w="120" w:type="dxa"/>
            </w:tcMar>
            <w:shd w:fill="F1F5F9"/>
          </w:tcPr>
          <w:p>
            <w:pPr>
              <w:jc w:val="right"/>
            </w:pPr>
            <w:r>
              <w:rPr>
                <w:rFonts w:ascii="Segoe UI" w:hAnsi="Segoe UI"/>
                <w:sz w:val="18"/>
              </w:rPr>
              <w:t>3.75</w:t>
            </w:r>
          </w:p>
        </w:tc>
        <w:tc>
          <w:tcPr>
            <w:tcW w:type="dxa" w:w="3250"/>
            <w:tcMar>
              <w:top w:w="80" w:type="dxa"/>
              <w:bottom w:w="80" w:type="dxa"/>
              <w:left w:w="120" w:type="dxa"/>
              <w:right w:w="120" w:type="dxa"/>
            </w:tcMar>
            <w:shd w:fill="F1F5F9"/>
          </w:tcPr>
          <w:p>
            <w:pPr>
              <w:jc w:val="right"/>
            </w:pPr>
            <w:r>
              <w:rPr>
                <w:rFonts w:ascii="Segoe UI" w:hAnsi="Segoe UI"/>
                <w:sz w:val="18"/>
              </w:rPr>
              <w:t>3.00</w:t>
            </w:r>
          </w:p>
        </w:tc>
      </w:tr>
      <w:tr>
        <w:tc>
          <w:tcPr>
            <w:tcW w:type="dxa" w:w="3250"/>
            <w:tcMar>
              <w:top w:w="80" w:type="dxa"/>
              <w:bottom w:w="80" w:type="dxa"/>
              <w:left w:w="120" w:type="dxa"/>
              <w:right w:w="120" w:type="dxa"/>
            </w:tcMar>
          </w:tcPr>
          <w:p>
            <w:r>
              <w:rPr>
                <w:rFonts w:ascii="Segoe UI" w:hAnsi="Segoe UI"/>
                <w:sz w:val="18"/>
              </w:rPr>
              <w:t>Other Payables - Security Deposits / Accruals</w:t>
            </w:r>
          </w:p>
        </w:tc>
        <w:tc>
          <w:tcPr>
            <w:tcW w:type="dxa" w:w="3250"/>
            <w:tcMar>
              <w:top w:w="80" w:type="dxa"/>
              <w:bottom w:w="80" w:type="dxa"/>
              <w:left w:w="120" w:type="dxa"/>
              <w:right w:w="120" w:type="dxa"/>
            </w:tcMar>
            <w:shd w:fill="F1F5F9"/>
          </w:tcPr>
          <w:p>
            <w:pPr>
              <w:jc w:val="right"/>
            </w:pPr>
            <w:r>
              <w:rPr>
                <w:rFonts w:ascii="Segoe UI" w:hAnsi="Segoe UI"/>
                <w:sz w:val="18"/>
              </w:rPr>
              <w:t>1.25</w:t>
            </w:r>
          </w:p>
        </w:tc>
        <w:tc>
          <w:tcPr>
            <w:tcW w:type="dxa" w:w="3250"/>
            <w:tcMar>
              <w:top w:w="80" w:type="dxa"/>
              <w:bottom w:w="80" w:type="dxa"/>
              <w:left w:w="120" w:type="dxa"/>
              <w:right w:w="120" w:type="dxa"/>
            </w:tcMar>
            <w:shd w:fill="F1F5F9"/>
          </w:tcPr>
          <w:p>
            <w:pPr>
              <w:jc w:val="right"/>
            </w:pPr>
            <w:r>
              <w:rPr>
                <w:rFonts w:ascii="Segoe UI" w:hAnsi="Segoe UI"/>
                <w:sz w:val="18"/>
              </w:rPr>
              <w:t>1.00</w:t>
            </w:r>
          </w:p>
        </w:tc>
      </w:tr>
      <w:tr>
        <w:tc>
          <w:tcPr>
            <w:tcW w:type="dxa" w:w="3250"/>
            <w:tcMar>
              <w:top w:w="80" w:type="dxa"/>
              <w:bottom w:w="80" w:type="dxa"/>
              <w:left w:w="120" w:type="dxa"/>
              <w:right w:w="120" w:type="dxa"/>
            </w:tcMar>
          </w:tcPr>
          <w:p>
            <w:r>
              <w:rPr>
                <w:rFonts w:ascii="Segoe UI" w:hAnsi="Segoe UI"/>
                <w:b/>
                <w:sz w:val="18"/>
              </w:rPr>
              <w:t>TOTAL OTHER CURRENT LIABILITIES</w:t>
            </w:r>
          </w:p>
        </w:tc>
        <w:tc>
          <w:tcPr>
            <w:tcW w:type="dxa" w:w="3250"/>
            <w:tcMar>
              <w:top w:w="80" w:type="dxa"/>
              <w:bottom w:w="80" w:type="dxa"/>
              <w:left w:w="120" w:type="dxa"/>
              <w:right w:w="120" w:type="dxa"/>
            </w:tcMar>
            <w:shd w:fill="F1F5F9"/>
          </w:tcPr>
          <w:p>
            <w:pPr>
              <w:jc w:val="right"/>
            </w:pPr>
            <w:r>
              <w:rPr>
                <w:rFonts w:ascii="Segoe UI" w:hAnsi="Segoe UI"/>
                <w:b/>
                <w:sz w:val="18"/>
              </w:rPr>
              <w:t>25.00</w:t>
            </w:r>
          </w:p>
        </w:tc>
        <w:tc>
          <w:tcPr>
            <w:tcW w:type="dxa" w:w="3250"/>
            <w:tcMar>
              <w:top w:w="80" w:type="dxa"/>
              <w:bottom w:w="80" w:type="dxa"/>
              <w:left w:w="120" w:type="dxa"/>
              <w:right w:w="120" w:type="dxa"/>
            </w:tcMar>
            <w:shd w:fill="F1F5F9"/>
          </w:tcPr>
          <w:p>
            <w:pPr>
              <w:jc w:val="right"/>
            </w:pPr>
            <w:r>
              <w:rPr>
                <w:rFonts w:ascii="Segoe UI" w:hAnsi="Segoe UI"/>
                <w:b/>
                <w:sz w:val="18"/>
              </w:rPr>
              <w:t>20.00</w:t>
            </w:r>
          </w:p>
        </w:tc>
      </w:tr>
    </w:tbl>
    <w:p/>
    <w:p>
      <w:pPr>
        <w:spacing w:after="160"/>
      </w:pPr>
      <w:r>
        <w:rPr>
          <w:rFonts w:ascii="Segoe UI" w:hAnsi="Segoe UI"/>
          <w:sz w:val="18"/>
        </w:rPr>
        <w:t>Other Current Liabilities include current maturities of long-term debt, statutory liabilities payable within 12 months, and advance from customers.</w:t>
      </w:r>
    </w:p>
    <w:p>
      <w:pPr>
        <w:keepNext/>
        <w:spacing w:before="200" w:after="40"/>
      </w:pPr>
      <w:r>
        <w:rPr>
          <w:rFonts w:ascii="Segoe UI" w:hAnsi="Segoe UI"/>
          <w:b/>
          <w:color w:val="1B365D"/>
          <w:sz w:val="21"/>
        </w:rPr>
        <w:t>NOTE 3.4: SHORT-TERM PROVISIONS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Provision for Income Tax (Net of Advance Tax)</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Provision for Employee Benefits (Leave &amp; Gratuity - Current)</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Provision for Bonus / Ex-gratia</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b/>
                <w:sz w:val="18"/>
              </w:rPr>
              <w:t>TOTAL SHORT-TERM PROVISIONS</w:t>
            </w:r>
          </w:p>
        </w:tc>
        <w:tc>
          <w:tcPr>
            <w:tcW w:type="dxa" w:w="3250"/>
            <w:tcMar>
              <w:top w:w="80" w:type="dxa"/>
              <w:bottom w:w="80" w:type="dxa"/>
              <w:left w:w="120" w:type="dxa"/>
              <w:right w:w="120" w:type="dxa"/>
            </w:tcMar>
            <w:shd w:fill="F1F5F9"/>
          </w:tcPr>
          <w:p>
            <w:pPr>
              <w:jc w:val="right"/>
            </w:pPr>
            <w:r>
              <w:rPr>
                <w:rFonts w:ascii="Segoe UI" w:hAnsi="Segoe UI"/>
                <w:b/>
                <w:sz w:val="18"/>
              </w:rPr>
              <w:t>0.00</w:t>
            </w:r>
          </w:p>
        </w:tc>
        <w:tc>
          <w:tcPr>
            <w:tcW w:type="dxa" w:w="3250"/>
            <w:tcMar>
              <w:top w:w="80" w:type="dxa"/>
              <w:bottom w:w="80" w:type="dxa"/>
              <w:left w:w="120" w:type="dxa"/>
              <w:right w:w="120" w:type="dxa"/>
            </w:tcMar>
            <w:shd w:fill="F1F5F9"/>
          </w:tcPr>
          <w:p>
            <w:pPr>
              <w:jc w:val="right"/>
            </w:pPr>
            <w:r>
              <w:rPr>
                <w:rFonts w:ascii="Segoe UI" w:hAnsi="Segoe UI"/>
                <w:b/>
                <w:sz w:val="18"/>
              </w:rPr>
              <w:t>0.00</w:t>
            </w:r>
          </w:p>
        </w:tc>
      </w:tr>
    </w:tbl>
    <w:p/>
    <w:p>
      <w:pPr>
        <w:spacing w:after="160"/>
      </w:pPr>
      <w:r>
        <w:rPr>
          <w:rFonts w:ascii="Segoe UI" w:hAnsi="Segoe UI"/>
          <w:sz w:val="18"/>
        </w:rPr>
        <w:t>Short-term provisions represent amounts expected to be settled within 12 months of the Balance Sheet date.</w:t>
      </w:r>
    </w:p>
    <w:p>
      <w:pPr>
        <w:keepNext/>
        <w:spacing w:before="200" w:after="40"/>
      </w:pPr>
      <w:r>
        <w:rPr>
          <w:rFonts w:ascii="Segoe UI" w:hAnsi="Segoe UI"/>
          <w:b/>
          <w:color w:val="1B365D"/>
          <w:sz w:val="21"/>
        </w:rPr>
        <w:t>NOTE 4.1: PROPERTY, PLANT AND EQUIPMENT</w:t>
      </w:r>
    </w:p>
    <w:tbl>
      <w:tblPr>
        <w:tblW w:type="auto" w:w="0"/>
        <w:jc w:val="center"/>
        <w:tblLook w:firstColumn="1" w:firstRow="1" w:lastColumn="0" w:lastRow="0" w:noHBand="0" w:noVBand="1" w:val="04A0"/>
      </w:tblPr>
      <w:tblGrid>
        <w:gridCol w:w="886"/>
        <w:gridCol w:w="886"/>
        <w:gridCol w:w="886"/>
        <w:gridCol w:w="886"/>
        <w:gridCol w:w="886"/>
        <w:gridCol w:w="886"/>
        <w:gridCol w:w="886"/>
        <w:gridCol w:w="886"/>
        <w:gridCol w:w="886"/>
        <w:gridCol w:w="886"/>
        <w:gridCol w:w="886"/>
      </w:tblGrid>
      <w:tr>
        <w:tc>
          <w:tcPr>
            <w:tcW w:type="dxa" w:w="886"/>
            <w:shd w:fill="1B365D"/>
            <w:tcMar>
              <w:top w:w="120" w:type="dxa"/>
              <w:bottom w:w="120" w:type="dxa"/>
              <w:left w:w="150" w:type="dxa"/>
              <w:right w:w="150" w:type="dxa"/>
            </w:tcMar>
          </w:tcPr>
          <w:p>
            <w:pPr>
              <w:jc w:val="center"/>
            </w:pPr>
            <w:r>
              <w:t>Asset Category</w:t>
            </w:r>
          </w:p>
        </w:tc>
        <w:tc>
          <w:tcPr>
            <w:tcW w:type="dxa" w:w="886"/>
            <w:shd w:fill="1B365D"/>
            <w:tcMar>
              <w:top w:w="120" w:type="dxa"/>
              <w:bottom w:w="120" w:type="dxa"/>
              <w:left w:w="150" w:type="dxa"/>
              <w:right w:w="150" w:type="dxa"/>
            </w:tcMar>
          </w:tcPr>
          <w:p>
            <w:pPr>
              <w:jc w:val="center"/>
            </w:pPr>
            <w:r>
              <w:t>Opening Gross Block</w:t>
            </w:r>
          </w:p>
        </w:tc>
        <w:tc>
          <w:tcPr>
            <w:tcW w:type="dxa" w:w="886"/>
            <w:shd w:fill="1B365D"/>
            <w:tcMar>
              <w:top w:w="120" w:type="dxa"/>
              <w:bottom w:w="120" w:type="dxa"/>
              <w:left w:w="150" w:type="dxa"/>
              <w:right w:w="150" w:type="dxa"/>
            </w:tcMar>
          </w:tcPr>
          <w:p>
            <w:pPr>
              <w:jc w:val="center"/>
            </w:pPr>
            <w:r>
              <w:t>Additions</w:t>
            </w:r>
          </w:p>
        </w:tc>
        <w:tc>
          <w:tcPr>
            <w:tcW w:type="dxa" w:w="886"/>
            <w:shd w:fill="1B365D"/>
            <w:tcMar>
              <w:top w:w="120" w:type="dxa"/>
              <w:bottom w:w="120" w:type="dxa"/>
              <w:left w:w="150" w:type="dxa"/>
              <w:right w:w="150" w:type="dxa"/>
            </w:tcMar>
          </w:tcPr>
          <w:p>
            <w:pPr>
              <w:jc w:val="center"/>
            </w:pPr>
            <w:r>
              <w:t>Disposals</w:t>
            </w:r>
          </w:p>
        </w:tc>
        <w:tc>
          <w:tcPr>
            <w:tcW w:type="dxa" w:w="886"/>
            <w:shd w:fill="1B365D"/>
            <w:tcMar>
              <w:top w:w="120" w:type="dxa"/>
              <w:bottom w:w="120" w:type="dxa"/>
              <w:left w:w="150" w:type="dxa"/>
              <w:right w:w="150" w:type="dxa"/>
            </w:tcMar>
          </w:tcPr>
          <w:p>
            <w:pPr>
              <w:jc w:val="center"/>
            </w:pPr>
            <w:r>
              <w:t>Closing Gross Block</w:t>
            </w:r>
          </w:p>
        </w:tc>
        <w:tc>
          <w:tcPr>
            <w:tcW w:type="dxa" w:w="886"/>
            <w:shd w:fill="1B365D"/>
            <w:tcMar>
              <w:top w:w="120" w:type="dxa"/>
              <w:bottom w:w="120" w:type="dxa"/>
              <w:left w:w="150" w:type="dxa"/>
              <w:right w:w="150" w:type="dxa"/>
            </w:tcMar>
          </w:tcPr>
          <w:p>
            <w:pPr>
              <w:jc w:val="center"/>
            </w:pPr>
            <w:r>
              <w:t>Accum. Dep (Open)</w:t>
            </w:r>
          </w:p>
        </w:tc>
        <w:tc>
          <w:tcPr>
            <w:tcW w:type="dxa" w:w="886"/>
            <w:shd w:fill="1B365D"/>
            <w:tcMar>
              <w:top w:w="120" w:type="dxa"/>
              <w:bottom w:w="120" w:type="dxa"/>
              <w:left w:w="150" w:type="dxa"/>
              <w:right w:w="150" w:type="dxa"/>
            </w:tcMar>
          </w:tcPr>
          <w:p>
            <w:pPr>
              <w:jc w:val="center"/>
            </w:pPr>
            <w:r>
              <w:t>Dep for Year</w:t>
            </w:r>
          </w:p>
        </w:tc>
        <w:tc>
          <w:tcPr>
            <w:tcW w:type="dxa" w:w="886"/>
            <w:shd w:fill="1B365D"/>
            <w:tcMar>
              <w:top w:w="120" w:type="dxa"/>
              <w:bottom w:w="120" w:type="dxa"/>
              <w:left w:w="150" w:type="dxa"/>
              <w:right w:w="150" w:type="dxa"/>
            </w:tcMar>
          </w:tcPr>
          <w:p>
            <w:pPr>
              <w:jc w:val="center"/>
            </w:pPr>
            <w:r>
              <w:t>Dep on Disposal</w:t>
            </w:r>
          </w:p>
        </w:tc>
        <w:tc>
          <w:tcPr>
            <w:tcW w:type="dxa" w:w="886"/>
            <w:shd w:fill="1B365D"/>
            <w:tcMar>
              <w:top w:w="120" w:type="dxa"/>
              <w:bottom w:w="120" w:type="dxa"/>
              <w:left w:w="150" w:type="dxa"/>
              <w:right w:w="150" w:type="dxa"/>
            </w:tcMar>
          </w:tcPr>
          <w:p>
            <w:pPr>
              <w:jc w:val="center"/>
            </w:pPr>
            <w:r>
              <w:t>Accum. Dep (Close)</w:t>
            </w:r>
          </w:p>
        </w:tc>
        <w:tc>
          <w:tcPr>
            <w:tcW w:type="dxa" w:w="886"/>
            <w:shd w:fill="1B365D"/>
            <w:tcMar>
              <w:top w:w="120" w:type="dxa"/>
              <w:bottom w:w="120" w:type="dxa"/>
              <w:left w:w="150" w:type="dxa"/>
              <w:right w:w="150" w:type="dxa"/>
            </w:tcMar>
          </w:tcPr>
          <w:p>
            <w:pPr>
              <w:jc w:val="center"/>
            </w:pPr>
            <w:r>
              <w:t>Net Block FY 2024-25</w:t>
            </w:r>
          </w:p>
        </w:tc>
        <w:tc>
          <w:tcPr>
            <w:tcW w:type="dxa" w:w="886"/>
            <w:shd w:fill="1B365D"/>
            <w:tcMar>
              <w:top w:w="120" w:type="dxa"/>
              <w:bottom w:w="120" w:type="dxa"/>
              <w:left w:w="150" w:type="dxa"/>
              <w:right w:w="150" w:type="dxa"/>
            </w:tcMar>
          </w:tcPr>
          <w:p>
            <w:pPr>
              <w:jc w:val="center"/>
            </w:pPr>
            <w:r>
              <w:t>Net Block FY 2023-24</w:t>
            </w:r>
          </w:p>
        </w:tc>
      </w:tr>
      <w:tr>
        <w:tc>
          <w:tcPr>
            <w:tcW w:type="dxa" w:w="886"/>
            <w:tcMar>
              <w:top w:w="80" w:type="dxa"/>
              <w:bottom w:w="80" w:type="dxa"/>
              <w:left w:w="120" w:type="dxa"/>
              <w:right w:w="120" w:type="dxa"/>
            </w:tcMar>
          </w:tcPr>
          <w:p>
            <w:r>
              <w:rPr>
                <w:rFonts w:ascii="Segoe UI" w:hAnsi="Segoe UI"/>
                <w:sz w:val="18"/>
              </w:rPr>
              <w:t>Freehold Land</w:t>
            </w:r>
          </w:p>
        </w:tc>
        <w:tc>
          <w:tcPr>
            <w:tcW w:type="dxa" w:w="886"/>
            <w:tcMar>
              <w:top w:w="80" w:type="dxa"/>
              <w:bottom w:w="80" w:type="dxa"/>
              <w:left w:w="120" w:type="dxa"/>
              <w:right w:w="120" w:type="dxa"/>
            </w:tcMar>
            <w:shd w:fill="F1F5F9"/>
          </w:tcPr>
          <w:p>
            <w:pPr>
              <w:jc w:val="right"/>
            </w:pPr>
            <w:r>
              <w:rPr>
                <w:rFonts w:ascii="Segoe UI" w:hAnsi="Segoe UI"/>
                <w:sz w:val="18"/>
              </w:rPr>
              <w:t>160.26</w:t>
            </w:r>
          </w:p>
        </w:tc>
        <w:tc>
          <w:tcPr>
            <w:tcW w:type="dxa" w:w="886"/>
            <w:tcMar>
              <w:top w:w="80" w:type="dxa"/>
              <w:bottom w:w="80" w:type="dxa"/>
              <w:left w:w="120" w:type="dxa"/>
              <w:right w:w="120" w:type="dxa"/>
            </w:tcMar>
            <w:shd w:fill="F1F5F9"/>
          </w:tcPr>
          <w:p>
            <w:pPr>
              <w:jc w:val="right"/>
            </w:pPr>
            <w:r>
              <w:rPr>
                <w:rFonts w:ascii="Segoe UI" w:hAnsi="Segoe UI"/>
                <w:sz w:val="18"/>
              </w:rPr>
              <w:t>13.94</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174.20</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174.20</w:t>
            </w:r>
          </w:p>
        </w:tc>
        <w:tc>
          <w:tcPr>
            <w:tcW w:type="dxa" w:w="886"/>
            <w:tcMar>
              <w:top w:w="80" w:type="dxa"/>
              <w:bottom w:w="80" w:type="dxa"/>
              <w:left w:w="120" w:type="dxa"/>
              <w:right w:w="120" w:type="dxa"/>
            </w:tcMar>
            <w:shd w:fill="F1F5F9"/>
          </w:tcPr>
          <w:p>
            <w:pPr>
              <w:jc w:val="right"/>
            </w:pPr>
            <w:r>
              <w:rPr>
                <w:rFonts w:ascii="Segoe UI" w:hAnsi="Segoe UI"/>
                <w:sz w:val="18"/>
              </w:rPr>
              <w:t>160.26</w:t>
            </w:r>
          </w:p>
        </w:tc>
      </w:tr>
      <w:tr>
        <w:tc>
          <w:tcPr>
            <w:tcW w:type="dxa" w:w="886"/>
            <w:tcMar>
              <w:top w:w="80" w:type="dxa"/>
              <w:bottom w:w="80" w:type="dxa"/>
              <w:left w:w="120" w:type="dxa"/>
              <w:right w:w="120" w:type="dxa"/>
            </w:tcMar>
          </w:tcPr>
          <w:p>
            <w:r>
              <w:rPr>
                <w:rFonts w:ascii="Segoe UI" w:hAnsi="Segoe UI"/>
                <w:sz w:val="18"/>
              </w:rPr>
              <w:t>Buildings</w:t>
            </w:r>
          </w:p>
        </w:tc>
        <w:tc>
          <w:tcPr>
            <w:tcW w:type="dxa" w:w="886"/>
            <w:tcMar>
              <w:top w:w="80" w:type="dxa"/>
              <w:bottom w:w="80" w:type="dxa"/>
              <w:left w:w="120" w:type="dxa"/>
              <w:right w:w="120" w:type="dxa"/>
            </w:tcMar>
            <w:shd w:fill="F1F5F9"/>
          </w:tcPr>
          <w:p>
            <w:pPr>
              <w:jc w:val="right"/>
            </w:pPr>
            <w:r>
              <w:rPr>
                <w:rFonts w:ascii="Segoe UI" w:hAnsi="Segoe UI"/>
                <w:sz w:val="18"/>
              </w:rPr>
              <w:t>200.33</w:t>
            </w:r>
          </w:p>
        </w:tc>
        <w:tc>
          <w:tcPr>
            <w:tcW w:type="dxa" w:w="886"/>
            <w:tcMar>
              <w:top w:w="80" w:type="dxa"/>
              <w:bottom w:w="80" w:type="dxa"/>
              <w:left w:w="120" w:type="dxa"/>
              <w:right w:w="120" w:type="dxa"/>
            </w:tcMar>
            <w:shd w:fill="F1F5F9"/>
          </w:tcPr>
          <w:p>
            <w:pPr>
              <w:jc w:val="right"/>
            </w:pPr>
            <w:r>
              <w:rPr>
                <w:rFonts w:ascii="Segoe UI" w:hAnsi="Segoe UI"/>
                <w:sz w:val="18"/>
              </w:rPr>
              <w:t>17.42</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217.75</w:t>
            </w:r>
          </w:p>
        </w:tc>
        <w:tc>
          <w:tcPr>
            <w:tcW w:type="dxa" w:w="886"/>
            <w:tcMar>
              <w:top w:w="80" w:type="dxa"/>
              <w:bottom w:w="80" w:type="dxa"/>
              <w:left w:w="120" w:type="dxa"/>
              <w:right w:w="120" w:type="dxa"/>
            </w:tcMar>
            <w:shd w:fill="F1F5F9"/>
          </w:tcPr>
          <w:p>
            <w:pPr>
              <w:jc w:val="right"/>
            </w:pPr>
            <w:r>
              <w:rPr>
                <w:rFonts w:ascii="Segoe UI" w:hAnsi="Segoe UI"/>
                <w:sz w:val="18"/>
              </w:rPr>
              <w:t>10.02</w:t>
            </w:r>
          </w:p>
        </w:tc>
        <w:tc>
          <w:tcPr>
            <w:tcW w:type="dxa" w:w="886"/>
            <w:tcMar>
              <w:top w:w="80" w:type="dxa"/>
              <w:bottom w:w="80" w:type="dxa"/>
              <w:left w:w="120" w:type="dxa"/>
              <w:right w:w="120" w:type="dxa"/>
            </w:tcMar>
            <w:shd w:fill="F1F5F9"/>
          </w:tcPr>
          <w:p>
            <w:pPr>
              <w:jc w:val="right"/>
            </w:pPr>
            <w:r>
              <w:rPr>
                <w:rFonts w:ascii="Segoe UI" w:hAnsi="Segoe UI"/>
                <w:sz w:val="18"/>
              </w:rPr>
              <w:t>10.89</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20.91</w:t>
            </w:r>
          </w:p>
        </w:tc>
        <w:tc>
          <w:tcPr>
            <w:tcW w:type="dxa" w:w="886"/>
            <w:tcMar>
              <w:top w:w="80" w:type="dxa"/>
              <w:bottom w:w="80" w:type="dxa"/>
              <w:left w:w="120" w:type="dxa"/>
              <w:right w:w="120" w:type="dxa"/>
            </w:tcMar>
            <w:shd w:fill="F1F5F9"/>
          </w:tcPr>
          <w:p>
            <w:pPr>
              <w:jc w:val="right"/>
            </w:pPr>
            <w:r>
              <w:rPr>
                <w:rFonts w:ascii="Segoe UI" w:hAnsi="Segoe UI"/>
                <w:sz w:val="18"/>
              </w:rPr>
              <w:t>196.84</w:t>
            </w:r>
          </w:p>
        </w:tc>
        <w:tc>
          <w:tcPr>
            <w:tcW w:type="dxa" w:w="886"/>
            <w:tcMar>
              <w:top w:w="80" w:type="dxa"/>
              <w:bottom w:w="80" w:type="dxa"/>
              <w:left w:w="120" w:type="dxa"/>
              <w:right w:w="120" w:type="dxa"/>
            </w:tcMar>
            <w:shd w:fill="F1F5F9"/>
          </w:tcPr>
          <w:p>
            <w:pPr>
              <w:jc w:val="right"/>
            </w:pPr>
            <w:r>
              <w:rPr>
                <w:rFonts w:ascii="Segoe UI" w:hAnsi="Segoe UI"/>
                <w:sz w:val="18"/>
              </w:rPr>
              <w:t>190.31</w:t>
            </w:r>
          </w:p>
        </w:tc>
      </w:tr>
      <w:tr>
        <w:tc>
          <w:tcPr>
            <w:tcW w:type="dxa" w:w="886"/>
            <w:tcMar>
              <w:top w:w="80" w:type="dxa"/>
              <w:bottom w:w="80" w:type="dxa"/>
              <w:left w:w="120" w:type="dxa"/>
              <w:right w:w="120" w:type="dxa"/>
            </w:tcMar>
          </w:tcPr>
          <w:p>
            <w:r>
              <w:rPr>
                <w:rFonts w:ascii="Segoe UI" w:hAnsi="Segoe UI"/>
                <w:sz w:val="18"/>
              </w:rPr>
              <w:t>Plant &amp; Machinery</w:t>
            </w:r>
          </w:p>
        </w:tc>
        <w:tc>
          <w:tcPr>
            <w:tcW w:type="dxa" w:w="886"/>
            <w:tcMar>
              <w:top w:w="80" w:type="dxa"/>
              <w:bottom w:w="80" w:type="dxa"/>
              <w:left w:w="120" w:type="dxa"/>
              <w:right w:w="120" w:type="dxa"/>
            </w:tcMar>
            <w:shd w:fill="F1F5F9"/>
          </w:tcPr>
          <w:p>
            <w:pPr>
              <w:jc w:val="right"/>
            </w:pPr>
            <w:r>
              <w:rPr>
                <w:rFonts w:ascii="Segoe UI" w:hAnsi="Segoe UI"/>
                <w:sz w:val="18"/>
              </w:rPr>
              <w:t>280.46</w:t>
            </w:r>
          </w:p>
        </w:tc>
        <w:tc>
          <w:tcPr>
            <w:tcW w:type="dxa" w:w="886"/>
            <w:tcMar>
              <w:top w:w="80" w:type="dxa"/>
              <w:bottom w:w="80" w:type="dxa"/>
              <w:left w:w="120" w:type="dxa"/>
              <w:right w:w="120" w:type="dxa"/>
            </w:tcMar>
            <w:shd w:fill="F1F5F9"/>
          </w:tcPr>
          <w:p>
            <w:pPr>
              <w:jc w:val="right"/>
            </w:pPr>
            <w:r>
              <w:rPr>
                <w:rFonts w:ascii="Segoe UI" w:hAnsi="Segoe UI"/>
                <w:sz w:val="18"/>
              </w:rPr>
              <w:t>24.39</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304.85</w:t>
            </w:r>
          </w:p>
        </w:tc>
        <w:tc>
          <w:tcPr>
            <w:tcW w:type="dxa" w:w="886"/>
            <w:tcMar>
              <w:top w:w="80" w:type="dxa"/>
              <w:bottom w:w="80" w:type="dxa"/>
              <w:left w:w="120" w:type="dxa"/>
              <w:right w:w="120" w:type="dxa"/>
            </w:tcMar>
            <w:shd w:fill="F1F5F9"/>
          </w:tcPr>
          <w:p>
            <w:pPr>
              <w:jc w:val="right"/>
            </w:pPr>
            <w:r>
              <w:rPr>
                <w:rFonts w:ascii="Segoe UI" w:hAnsi="Segoe UI"/>
                <w:sz w:val="18"/>
              </w:rPr>
              <w:t>28.05</w:t>
            </w:r>
          </w:p>
        </w:tc>
        <w:tc>
          <w:tcPr>
            <w:tcW w:type="dxa" w:w="886"/>
            <w:tcMar>
              <w:top w:w="80" w:type="dxa"/>
              <w:bottom w:w="80" w:type="dxa"/>
              <w:left w:w="120" w:type="dxa"/>
              <w:right w:w="120" w:type="dxa"/>
            </w:tcMar>
            <w:shd w:fill="F1F5F9"/>
          </w:tcPr>
          <w:p>
            <w:pPr>
              <w:jc w:val="right"/>
            </w:pPr>
            <w:r>
              <w:rPr>
                <w:rFonts w:ascii="Segoe UI" w:hAnsi="Segoe UI"/>
                <w:sz w:val="18"/>
              </w:rPr>
              <w:t>30.49</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58.54</w:t>
            </w:r>
          </w:p>
        </w:tc>
        <w:tc>
          <w:tcPr>
            <w:tcW w:type="dxa" w:w="886"/>
            <w:tcMar>
              <w:top w:w="80" w:type="dxa"/>
              <w:bottom w:w="80" w:type="dxa"/>
              <w:left w:w="120" w:type="dxa"/>
              <w:right w:w="120" w:type="dxa"/>
            </w:tcMar>
            <w:shd w:fill="F1F5F9"/>
          </w:tcPr>
          <w:p>
            <w:pPr>
              <w:jc w:val="right"/>
            </w:pPr>
            <w:r>
              <w:rPr>
                <w:rFonts w:ascii="Segoe UI" w:hAnsi="Segoe UI"/>
                <w:sz w:val="18"/>
              </w:rPr>
              <w:t>246.31</w:t>
            </w:r>
          </w:p>
        </w:tc>
        <w:tc>
          <w:tcPr>
            <w:tcW w:type="dxa" w:w="886"/>
            <w:tcMar>
              <w:top w:w="80" w:type="dxa"/>
              <w:bottom w:w="80" w:type="dxa"/>
              <w:left w:w="120" w:type="dxa"/>
              <w:right w:w="120" w:type="dxa"/>
            </w:tcMar>
            <w:shd w:fill="F1F5F9"/>
          </w:tcPr>
          <w:p>
            <w:pPr>
              <w:jc w:val="right"/>
            </w:pPr>
            <w:r>
              <w:rPr>
                <w:rFonts w:ascii="Segoe UI" w:hAnsi="Segoe UI"/>
                <w:sz w:val="18"/>
              </w:rPr>
              <w:t>252.41</w:t>
            </w:r>
          </w:p>
        </w:tc>
      </w:tr>
      <w:tr>
        <w:tc>
          <w:tcPr>
            <w:tcW w:type="dxa" w:w="886"/>
            <w:tcMar>
              <w:top w:w="80" w:type="dxa"/>
              <w:bottom w:w="80" w:type="dxa"/>
              <w:left w:w="120" w:type="dxa"/>
              <w:right w:w="120" w:type="dxa"/>
            </w:tcMar>
          </w:tcPr>
          <w:p>
            <w:r>
              <w:rPr>
                <w:rFonts w:ascii="Segoe UI" w:hAnsi="Segoe UI"/>
                <w:sz w:val="18"/>
              </w:rPr>
              <w:t>Furniture &amp; Fixtures</w:t>
            </w:r>
          </w:p>
        </w:tc>
        <w:tc>
          <w:tcPr>
            <w:tcW w:type="dxa" w:w="886"/>
            <w:tcMar>
              <w:top w:w="80" w:type="dxa"/>
              <w:bottom w:w="80" w:type="dxa"/>
              <w:left w:w="120" w:type="dxa"/>
              <w:right w:w="120" w:type="dxa"/>
            </w:tcMar>
            <w:shd w:fill="F1F5F9"/>
          </w:tcPr>
          <w:p>
            <w:pPr>
              <w:jc w:val="right"/>
            </w:pPr>
            <w:r>
              <w:rPr>
                <w:rFonts w:ascii="Segoe UI" w:hAnsi="Segoe UI"/>
                <w:sz w:val="18"/>
              </w:rPr>
              <w:t>80.13</w:t>
            </w:r>
          </w:p>
        </w:tc>
        <w:tc>
          <w:tcPr>
            <w:tcW w:type="dxa" w:w="886"/>
            <w:tcMar>
              <w:top w:w="80" w:type="dxa"/>
              <w:bottom w:w="80" w:type="dxa"/>
              <w:left w:w="120" w:type="dxa"/>
              <w:right w:w="120" w:type="dxa"/>
            </w:tcMar>
            <w:shd w:fill="F1F5F9"/>
          </w:tcPr>
          <w:p>
            <w:pPr>
              <w:jc w:val="right"/>
            </w:pPr>
            <w:r>
              <w:rPr>
                <w:rFonts w:ascii="Segoe UI" w:hAnsi="Segoe UI"/>
                <w:sz w:val="18"/>
              </w:rPr>
              <w:t>6.97</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87.10</w:t>
            </w:r>
          </w:p>
        </w:tc>
        <w:tc>
          <w:tcPr>
            <w:tcW w:type="dxa" w:w="886"/>
            <w:tcMar>
              <w:top w:w="80" w:type="dxa"/>
              <w:bottom w:w="80" w:type="dxa"/>
              <w:left w:w="120" w:type="dxa"/>
              <w:right w:w="120" w:type="dxa"/>
            </w:tcMar>
            <w:shd w:fill="F1F5F9"/>
          </w:tcPr>
          <w:p>
            <w:pPr>
              <w:jc w:val="right"/>
            </w:pPr>
            <w:r>
              <w:rPr>
                <w:rFonts w:ascii="Segoe UI" w:hAnsi="Segoe UI"/>
                <w:sz w:val="18"/>
              </w:rPr>
              <w:t>8.01</w:t>
            </w:r>
          </w:p>
        </w:tc>
        <w:tc>
          <w:tcPr>
            <w:tcW w:type="dxa" w:w="886"/>
            <w:tcMar>
              <w:top w:w="80" w:type="dxa"/>
              <w:bottom w:w="80" w:type="dxa"/>
              <w:left w:w="120" w:type="dxa"/>
              <w:right w:w="120" w:type="dxa"/>
            </w:tcMar>
            <w:shd w:fill="F1F5F9"/>
          </w:tcPr>
          <w:p>
            <w:pPr>
              <w:jc w:val="right"/>
            </w:pPr>
            <w:r>
              <w:rPr>
                <w:rFonts w:ascii="Segoe UI" w:hAnsi="Segoe UI"/>
                <w:sz w:val="18"/>
              </w:rPr>
              <w:t>8.71</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16.72</w:t>
            </w:r>
          </w:p>
        </w:tc>
        <w:tc>
          <w:tcPr>
            <w:tcW w:type="dxa" w:w="886"/>
            <w:tcMar>
              <w:top w:w="80" w:type="dxa"/>
              <w:bottom w:w="80" w:type="dxa"/>
              <w:left w:w="120" w:type="dxa"/>
              <w:right w:w="120" w:type="dxa"/>
            </w:tcMar>
            <w:shd w:fill="F1F5F9"/>
          </w:tcPr>
          <w:p>
            <w:pPr>
              <w:jc w:val="right"/>
            </w:pPr>
            <w:r>
              <w:rPr>
                <w:rFonts w:ascii="Segoe UI" w:hAnsi="Segoe UI"/>
                <w:sz w:val="18"/>
              </w:rPr>
              <w:t>70.38</w:t>
            </w:r>
          </w:p>
        </w:tc>
        <w:tc>
          <w:tcPr>
            <w:tcW w:type="dxa" w:w="886"/>
            <w:tcMar>
              <w:top w:w="80" w:type="dxa"/>
              <w:bottom w:w="80" w:type="dxa"/>
              <w:left w:w="120" w:type="dxa"/>
              <w:right w:w="120" w:type="dxa"/>
            </w:tcMar>
            <w:shd w:fill="F1F5F9"/>
          </w:tcPr>
          <w:p>
            <w:pPr>
              <w:jc w:val="right"/>
            </w:pPr>
            <w:r>
              <w:rPr>
                <w:rFonts w:ascii="Segoe UI" w:hAnsi="Segoe UI"/>
                <w:sz w:val="18"/>
              </w:rPr>
              <w:t>72.12</w:t>
            </w:r>
          </w:p>
        </w:tc>
      </w:tr>
      <w:tr>
        <w:tc>
          <w:tcPr>
            <w:tcW w:type="dxa" w:w="886"/>
            <w:tcMar>
              <w:top w:w="80" w:type="dxa"/>
              <w:bottom w:w="80" w:type="dxa"/>
              <w:left w:w="120" w:type="dxa"/>
              <w:right w:w="120" w:type="dxa"/>
            </w:tcMar>
          </w:tcPr>
          <w:p>
            <w:r>
              <w:rPr>
                <w:rFonts w:ascii="Segoe UI" w:hAnsi="Segoe UI"/>
                <w:sz w:val="18"/>
              </w:rPr>
              <w:t>Office Equipment</w:t>
            </w:r>
          </w:p>
        </w:tc>
        <w:tc>
          <w:tcPr>
            <w:tcW w:type="dxa" w:w="886"/>
            <w:tcMar>
              <w:top w:w="80" w:type="dxa"/>
              <w:bottom w:w="80" w:type="dxa"/>
              <w:left w:w="120" w:type="dxa"/>
              <w:right w:w="120" w:type="dxa"/>
            </w:tcMar>
            <w:shd w:fill="F1F5F9"/>
          </w:tcPr>
          <w:p>
            <w:pPr>
              <w:jc w:val="right"/>
            </w:pPr>
            <w:r>
              <w:rPr>
                <w:rFonts w:ascii="Segoe UI" w:hAnsi="Segoe UI"/>
                <w:sz w:val="18"/>
              </w:rPr>
              <w:t>40.07</w:t>
            </w:r>
          </w:p>
        </w:tc>
        <w:tc>
          <w:tcPr>
            <w:tcW w:type="dxa" w:w="886"/>
            <w:tcMar>
              <w:top w:w="80" w:type="dxa"/>
              <w:bottom w:w="80" w:type="dxa"/>
              <w:left w:w="120" w:type="dxa"/>
              <w:right w:w="120" w:type="dxa"/>
            </w:tcMar>
            <w:shd w:fill="F1F5F9"/>
          </w:tcPr>
          <w:p>
            <w:pPr>
              <w:jc w:val="right"/>
            </w:pPr>
            <w:r>
              <w:rPr>
                <w:rFonts w:ascii="Segoe UI" w:hAnsi="Segoe UI"/>
                <w:sz w:val="18"/>
              </w:rPr>
              <w:t>3.48</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43.55</w:t>
            </w:r>
          </w:p>
        </w:tc>
        <w:tc>
          <w:tcPr>
            <w:tcW w:type="dxa" w:w="886"/>
            <w:tcMar>
              <w:top w:w="80" w:type="dxa"/>
              <w:bottom w:w="80" w:type="dxa"/>
              <w:left w:w="120" w:type="dxa"/>
              <w:right w:w="120" w:type="dxa"/>
            </w:tcMar>
            <w:shd w:fill="F1F5F9"/>
          </w:tcPr>
          <w:p>
            <w:pPr>
              <w:jc w:val="right"/>
            </w:pPr>
            <w:r>
              <w:rPr>
                <w:rFonts w:ascii="Segoe UI" w:hAnsi="Segoe UI"/>
                <w:sz w:val="18"/>
              </w:rPr>
              <w:t>6.01</w:t>
            </w:r>
          </w:p>
        </w:tc>
        <w:tc>
          <w:tcPr>
            <w:tcW w:type="dxa" w:w="886"/>
            <w:tcMar>
              <w:top w:w="80" w:type="dxa"/>
              <w:bottom w:w="80" w:type="dxa"/>
              <w:left w:w="120" w:type="dxa"/>
              <w:right w:w="120" w:type="dxa"/>
            </w:tcMar>
            <w:shd w:fill="F1F5F9"/>
          </w:tcPr>
          <w:p>
            <w:pPr>
              <w:jc w:val="right"/>
            </w:pPr>
            <w:r>
              <w:rPr>
                <w:rFonts w:ascii="Segoe UI" w:hAnsi="Segoe UI"/>
                <w:sz w:val="18"/>
              </w:rPr>
              <w:t>6.53</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12.54</w:t>
            </w:r>
          </w:p>
        </w:tc>
        <w:tc>
          <w:tcPr>
            <w:tcW w:type="dxa" w:w="886"/>
            <w:tcMar>
              <w:top w:w="80" w:type="dxa"/>
              <w:bottom w:w="80" w:type="dxa"/>
              <w:left w:w="120" w:type="dxa"/>
              <w:right w:w="120" w:type="dxa"/>
            </w:tcMar>
            <w:shd w:fill="F1F5F9"/>
          </w:tcPr>
          <w:p>
            <w:pPr>
              <w:jc w:val="right"/>
            </w:pPr>
            <w:r>
              <w:rPr>
                <w:rFonts w:ascii="Segoe UI" w:hAnsi="Segoe UI"/>
                <w:sz w:val="18"/>
              </w:rPr>
              <w:t>31.01</w:t>
            </w:r>
          </w:p>
        </w:tc>
        <w:tc>
          <w:tcPr>
            <w:tcW w:type="dxa" w:w="886"/>
            <w:tcMar>
              <w:top w:w="80" w:type="dxa"/>
              <w:bottom w:w="80" w:type="dxa"/>
              <w:left w:w="120" w:type="dxa"/>
              <w:right w:w="120" w:type="dxa"/>
            </w:tcMar>
            <w:shd w:fill="F1F5F9"/>
          </w:tcPr>
          <w:p>
            <w:pPr>
              <w:jc w:val="right"/>
            </w:pPr>
            <w:r>
              <w:rPr>
                <w:rFonts w:ascii="Segoe UI" w:hAnsi="Segoe UI"/>
                <w:sz w:val="18"/>
              </w:rPr>
              <w:t>34.06</w:t>
            </w:r>
          </w:p>
        </w:tc>
      </w:tr>
      <w:tr>
        <w:tc>
          <w:tcPr>
            <w:tcW w:type="dxa" w:w="886"/>
            <w:tcMar>
              <w:top w:w="80" w:type="dxa"/>
              <w:bottom w:w="80" w:type="dxa"/>
              <w:left w:w="120" w:type="dxa"/>
              <w:right w:w="120" w:type="dxa"/>
            </w:tcMar>
          </w:tcPr>
          <w:p>
            <w:r>
              <w:rPr>
                <w:rFonts w:ascii="Segoe UI" w:hAnsi="Segoe UI"/>
                <w:sz w:val="18"/>
              </w:rPr>
              <w:t>Vehicles</w:t>
            </w:r>
          </w:p>
        </w:tc>
        <w:tc>
          <w:tcPr>
            <w:tcW w:type="dxa" w:w="886"/>
            <w:tcMar>
              <w:top w:w="80" w:type="dxa"/>
              <w:bottom w:w="80" w:type="dxa"/>
              <w:left w:w="120" w:type="dxa"/>
              <w:right w:w="120" w:type="dxa"/>
            </w:tcMar>
            <w:shd w:fill="F1F5F9"/>
          </w:tcPr>
          <w:p>
            <w:pPr>
              <w:jc w:val="right"/>
            </w:pPr>
            <w:r>
              <w:rPr>
                <w:rFonts w:ascii="Segoe UI" w:hAnsi="Segoe UI"/>
                <w:sz w:val="18"/>
              </w:rPr>
              <w:t>40.07</w:t>
            </w:r>
          </w:p>
        </w:tc>
        <w:tc>
          <w:tcPr>
            <w:tcW w:type="dxa" w:w="886"/>
            <w:tcMar>
              <w:top w:w="80" w:type="dxa"/>
              <w:bottom w:w="80" w:type="dxa"/>
              <w:left w:w="120" w:type="dxa"/>
              <w:right w:w="120" w:type="dxa"/>
            </w:tcMar>
            <w:shd w:fill="F1F5F9"/>
          </w:tcPr>
          <w:p>
            <w:pPr>
              <w:jc w:val="right"/>
            </w:pPr>
            <w:r>
              <w:rPr>
                <w:rFonts w:ascii="Segoe UI" w:hAnsi="Segoe UI"/>
                <w:sz w:val="18"/>
              </w:rPr>
              <w:t>3.48</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43.55</w:t>
            </w:r>
          </w:p>
        </w:tc>
        <w:tc>
          <w:tcPr>
            <w:tcW w:type="dxa" w:w="886"/>
            <w:tcMar>
              <w:top w:w="80" w:type="dxa"/>
              <w:bottom w:w="80" w:type="dxa"/>
              <w:left w:w="120" w:type="dxa"/>
              <w:right w:w="120" w:type="dxa"/>
            </w:tcMar>
            <w:shd w:fill="F1F5F9"/>
          </w:tcPr>
          <w:p>
            <w:pPr>
              <w:jc w:val="right"/>
            </w:pPr>
            <w:r>
              <w:rPr>
                <w:rFonts w:ascii="Segoe UI" w:hAnsi="Segoe UI"/>
                <w:sz w:val="18"/>
              </w:rPr>
              <w:t>6.01</w:t>
            </w:r>
          </w:p>
        </w:tc>
        <w:tc>
          <w:tcPr>
            <w:tcW w:type="dxa" w:w="886"/>
            <w:tcMar>
              <w:top w:w="80" w:type="dxa"/>
              <w:bottom w:w="80" w:type="dxa"/>
              <w:left w:w="120" w:type="dxa"/>
              <w:right w:w="120" w:type="dxa"/>
            </w:tcMar>
            <w:shd w:fill="F1F5F9"/>
          </w:tcPr>
          <w:p>
            <w:pPr>
              <w:jc w:val="right"/>
            </w:pPr>
            <w:r>
              <w:rPr>
                <w:rFonts w:ascii="Segoe UI" w:hAnsi="Segoe UI"/>
                <w:sz w:val="18"/>
              </w:rPr>
              <w:t>6.53</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12.54</w:t>
            </w:r>
          </w:p>
        </w:tc>
        <w:tc>
          <w:tcPr>
            <w:tcW w:type="dxa" w:w="886"/>
            <w:tcMar>
              <w:top w:w="80" w:type="dxa"/>
              <w:bottom w:w="80" w:type="dxa"/>
              <w:left w:w="120" w:type="dxa"/>
              <w:right w:w="120" w:type="dxa"/>
            </w:tcMar>
            <w:shd w:fill="F1F5F9"/>
          </w:tcPr>
          <w:p>
            <w:pPr>
              <w:jc w:val="right"/>
            </w:pPr>
            <w:r>
              <w:rPr>
                <w:rFonts w:ascii="Segoe UI" w:hAnsi="Segoe UI"/>
                <w:sz w:val="18"/>
              </w:rPr>
              <w:t>31.01</w:t>
            </w:r>
          </w:p>
        </w:tc>
        <w:tc>
          <w:tcPr>
            <w:tcW w:type="dxa" w:w="886"/>
            <w:tcMar>
              <w:top w:w="80" w:type="dxa"/>
              <w:bottom w:w="80" w:type="dxa"/>
              <w:left w:w="120" w:type="dxa"/>
              <w:right w:w="120" w:type="dxa"/>
            </w:tcMar>
            <w:shd w:fill="F1F5F9"/>
          </w:tcPr>
          <w:p>
            <w:pPr>
              <w:jc w:val="right"/>
            </w:pPr>
            <w:r>
              <w:rPr>
                <w:rFonts w:ascii="Segoe UI" w:hAnsi="Segoe UI"/>
                <w:sz w:val="18"/>
              </w:rPr>
              <w:t>34.06</w:t>
            </w:r>
          </w:p>
        </w:tc>
      </w:tr>
      <w:tr>
        <w:tc>
          <w:tcPr>
            <w:tcW w:type="dxa" w:w="886"/>
            <w:tcMar>
              <w:top w:w="80" w:type="dxa"/>
              <w:bottom w:w="80" w:type="dxa"/>
              <w:left w:w="120" w:type="dxa"/>
              <w:right w:w="120" w:type="dxa"/>
            </w:tcMar>
          </w:tcPr>
          <w:p>
            <w:r>
              <w:rPr>
                <w:rFonts w:ascii="Segoe UI" w:hAnsi="Segoe UI"/>
                <w:b/>
                <w:sz w:val="18"/>
              </w:rPr>
              <w:t>TOTAL PROPERTY, PLANT &amp; EQUIPMENT</w:t>
            </w:r>
          </w:p>
        </w:tc>
        <w:tc>
          <w:tcPr>
            <w:tcW w:type="dxa" w:w="886"/>
            <w:tcMar>
              <w:top w:w="80" w:type="dxa"/>
              <w:bottom w:w="80" w:type="dxa"/>
              <w:left w:w="120" w:type="dxa"/>
              <w:right w:w="120" w:type="dxa"/>
            </w:tcMar>
            <w:shd w:fill="F1F5F9"/>
          </w:tcPr>
          <w:p>
            <w:pPr>
              <w:jc w:val="right"/>
            </w:pPr>
            <w:r>
              <w:rPr>
                <w:rFonts w:ascii="Segoe UI" w:hAnsi="Segoe UI"/>
                <w:b/>
                <w:sz w:val="18"/>
              </w:rPr>
              <w:t>801.32</w:t>
            </w:r>
          </w:p>
        </w:tc>
        <w:tc>
          <w:tcPr>
            <w:tcW w:type="dxa" w:w="886"/>
            <w:tcMar>
              <w:top w:w="80" w:type="dxa"/>
              <w:bottom w:w="80" w:type="dxa"/>
              <w:left w:w="120" w:type="dxa"/>
              <w:right w:w="120" w:type="dxa"/>
            </w:tcMar>
            <w:shd w:fill="F1F5F9"/>
          </w:tcPr>
          <w:p>
            <w:pPr>
              <w:jc w:val="right"/>
            </w:pPr>
            <w:r>
              <w:rPr>
                <w:rFonts w:ascii="Segoe UI" w:hAnsi="Segoe UI"/>
                <w:b/>
                <w:sz w:val="18"/>
              </w:rPr>
              <w:t>69.68</w:t>
            </w:r>
          </w:p>
        </w:tc>
        <w:tc>
          <w:tcPr>
            <w:tcW w:type="dxa" w:w="886"/>
            <w:tcMar>
              <w:top w:w="80" w:type="dxa"/>
              <w:bottom w:w="80" w:type="dxa"/>
              <w:left w:w="120" w:type="dxa"/>
              <w:right w:w="120" w:type="dxa"/>
            </w:tcMar>
            <w:shd w:fill="F1F5F9"/>
          </w:tcPr>
          <w:p>
            <w:pPr>
              <w:jc w:val="right"/>
            </w:pPr>
            <w:r>
              <w:rPr>
                <w:rFonts w:ascii="Segoe UI" w:hAnsi="Segoe UI"/>
                <w:b/>
                <w:sz w:val="18"/>
              </w:rPr>
              <w:t>0.00</w:t>
            </w:r>
          </w:p>
        </w:tc>
        <w:tc>
          <w:tcPr>
            <w:tcW w:type="dxa" w:w="886"/>
            <w:tcMar>
              <w:top w:w="80" w:type="dxa"/>
              <w:bottom w:w="80" w:type="dxa"/>
              <w:left w:w="120" w:type="dxa"/>
              <w:right w:w="120" w:type="dxa"/>
            </w:tcMar>
            <w:shd w:fill="F1F5F9"/>
          </w:tcPr>
          <w:p>
            <w:pPr>
              <w:jc w:val="right"/>
            </w:pPr>
            <w:r>
              <w:rPr>
                <w:rFonts w:ascii="Segoe UI" w:hAnsi="Segoe UI"/>
                <w:b/>
                <w:sz w:val="18"/>
              </w:rPr>
              <w:t>871.00</w:t>
            </w:r>
          </w:p>
        </w:tc>
        <w:tc>
          <w:tcPr>
            <w:tcW w:type="dxa" w:w="886"/>
            <w:tcMar>
              <w:top w:w="80" w:type="dxa"/>
              <w:bottom w:w="80" w:type="dxa"/>
              <w:left w:w="120" w:type="dxa"/>
              <w:right w:w="120" w:type="dxa"/>
            </w:tcMar>
            <w:shd w:fill="F1F5F9"/>
          </w:tcPr>
          <w:p>
            <w:pPr>
              <w:jc w:val="right"/>
            </w:pPr>
            <w:r>
              <w:rPr>
                <w:rFonts w:ascii="Segoe UI" w:hAnsi="Segoe UI"/>
                <w:b/>
                <w:sz w:val="18"/>
              </w:rPr>
              <w:t>58.10</w:t>
            </w:r>
          </w:p>
        </w:tc>
        <w:tc>
          <w:tcPr>
            <w:tcW w:type="dxa" w:w="886"/>
            <w:tcMar>
              <w:top w:w="80" w:type="dxa"/>
              <w:bottom w:w="80" w:type="dxa"/>
              <w:left w:w="120" w:type="dxa"/>
              <w:right w:w="120" w:type="dxa"/>
            </w:tcMar>
            <w:shd w:fill="F1F5F9"/>
          </w:tcPr>
          <w:p>
            <w:pPr>
              <w:jc w:val="right"/>
            </w:pPr>
            <w:r>
              <w:rPr>
                <w:rFonts w:ascii="Segoe UI" w:hAnsi="Segoe UI"/>
                <w:b/>
                <w:sz w:val="18"/>
              </w:rPr>
              <w:t>63.15</w:t>
            </w:r>
          </w:p>
        </w:tc>
        <w:tc>
          <w:tcPr>
            <w:tcW w:type="dxa" w:w="886"/>
            <w:tcMar>
              <w:top w:w="80" w:type="dxa"/>
              <w:bottom w:w="80" w:type="dxa"/>
              <w:left w:w="120" w:type="dxa"/>
              <w:right w:w="120" w:type="dxa"/>
            </w:tcMar>
            <w:shd w:fill="F1F5F9"/>
          </w:tcPr>
          <w:p>
            <w:pPr>
              <w:jc w:val="right"/>
            </w:pPr>
            <w:r>
              <w:rPr>
                <w:rFonts w:ascii="Segoe UI" w:hAnsi="Segoe UI"/>
                <w:b/>
                <w:sz w:val="18"/>
              </w:rPr>
              <w:t>0.00</w:t>
            </w:r>
          </w:p>
        </w:tc>
        <w:tc>
          <w:tcPr>
            <w:tcW w:type="dxa" w:w="886"/>
            <w:tcMar>
              <w:top w:w="80" w:type="dxa"/>
              <w:bottom w:w="80" w:type="dxa"/>
              <w:left w:w="120" w:type="dxa"/>
              <w:right w:w="120" w:type="dxa"/>
            </w:tcMar>
            <w:shd w:fill="F1F5F9"/>
          </w:tcPr>
          <w:p>
            <w:pPr>
              <w:jc w:val="right"/>
            </w:pPr>
            <w:r>
              <w:rPr>
                <w:rFonts w:ascii="Segoe UI" w:hAnsi="Segoe UI"/>
                <w:b/>
                <w:sz w:val="18"/>
              </w:rPr>
              <w:t>121.25</w:t>
            </w:r>
          </w:p>
        </w:tc>
        <w:tc>
          <w:tcPr>
            <w:tcW w:type="dxa" w:w="886"/>
            <w:tcMar>
              <w:top w:w="80" w:type="dxa"/>
              <w:bottom w:w="80" w:type="dxa"/>
              <w:left w:w="120" w:type="dxa"/>
              <w:right w:w="120" w:type="dxa"/>
            </w:tcMar>
            <w:shd w:fill="F1F5F9"/>
          </w:tcPr>
          <w:p>
            <w:pPr>
              <w:jc w:val="right"/>
            </w:pPr>
            <w:r>
              <w:rPr>
                <w:rFonts w:ascii="Segoe UI" w:hAnsi="Segoe UI"/>
                <w:b/>
                <w:sz w:val="18"/>
              </w:rPr>
              <w:t>749.75</w:t>
            </w:r>
          </w:p>
        </w:tc>
        <w:tc>
          <w:tcPr>
            <w:tcW w:type="dxa" w:w="886"/>
            <w:tcMar>
              <w:top w:w="80" w:type="dxa"/>
              <w:bottom w:w="80" w:type="dxa"/>
              <w:left w:w="120" w:type="dxa"/>
              <w:right w:w="120" w:type="dxa"/>
            </w:tcMar>
            <w:shd w:fill="F1F5F9"/>
          </w:tcPr>
          <w:p>
            <w:pPr>
              <w:jc w:val="right"/>
            </w:pPr>
            <w:r>
              <w:rPr>
                <w:rFonts w:ascii="Segoe UI" w:hAnsi="Segoe UI"/>
                <w:b/>
                <w:sz w:val="18"/>
              </w:rPr>
              <w:t>743.22</w:t>
            </w:r>
          </w:p>
        </w:tc>
      </w:tr>
    </w:tbl>
    <w:p/>
    <w:p>
      <w:pPr>
        <w:spacing w:after="160"/>
      </w:pPr>
      <w:r>
        <w:rPr>
          <w:rFonts w:ascii="Segoe UI" w:hAnsi="Segoe UI"/>
          <w:sz w:val="18"/>
        </w:rPr>
        <w:t>1. Depreciation Method: Depreciation on PPE is provided on Straight Line Method (SLM) based on useful lives under Schedule II of the Companies Act, 2013.</w:t>
        <w:br/>
        <w:t>2. Impairment: No impairment loss recognised during the year as per AS 28.</w:t>
        <w:br/>
        <w:t>3. Additions include capital expenditure incurred during the year and transferred from CWIP upon commissioning.</w:t>
        <w:br/>
        <w:t>4. Title to Land is held by the Company without encumbrances other than those disclosed under borrowings.</w:t>
      </w:r>
    </w:p>
    <w:p>
      <w:pPr>
        <w:keepNext/>
        <w:spacing w:before="200" w:after="40"/>
      </w:pPr>
      <w:r>
        <w:rPr>
          <w:rFonts w:ascii="Segoe UI" w:hAnsi="Segoe UI"/>
          <w:b/>
          <w:color w:val="1B365D"/>
          <w:sz w:val="21"/>
        </w:rPr>
        <w:t>NOTE 4.2: CAPITAL WORK-IN-PROGRESS</w:t>
      </w:r>
    </w:p>
    <w:tbl>
      <w:tblPr>
        <w:tblW w:type="auto" w:w="0"/>
        <w:jc w:val="center"/>
        <w:tblLook w:firstColumn="1" w:firstRow="1" w:lastColumn="0" w:lastRow="0" w:noHBand="0" w:noVBand="1" w:val="04A0"/>
      </w:tblPr>
      <w:tblGrid>
        <w:gridCol w:w="1625"/>
        <w:gridCol w:w="1625"/>
        <w:gridCol w:w="1625"/>
        <w:gridCol w:w="1625"/>
        <w:gridCol w:w="1625"/>
        <w:gridCol w:w="1625"/>
      </w:tblGrid>
      <w:tr>
        <w:tc>
          <w:tcPr>
            <w:tcW w:type="dxa" w:w="1625"/>
            <w:shd w:fill="1B365D"/>
            <w:tcMar>
              <w:top w:w="120" w:type="dxa"/>
              <w:bottom w:w="120" w:type="dxa"/>
              <w:left w:w="150" w:type="dxa"/>
              <w:right w:w="150" w:type="dxa"/>
            </w:tcMar>
          </w:tcPr>
          <w:p>
            <w:pPr>
              <w:jc w:val="center"/>
            </w:pPr>
            <w:r>
              <w:t>Project Name</w:t>
            </w:r>
          </w:p>
        </w:tc>
        <w:tc>
          <w:tcPr>
            <w:tcW w:type="dxa" w:w="1625"/>
            <w:shd w:fill="1B365D"/>
            <w:tcMar>
              <w:top w:w="120" w:type="dxa"/>
              <w:bottom w:w="120" w:type="dxa"/>
              <w:left w:w="150" w:type="dxa"/>
              <w:right w:w="150" w:type="dxa"/>
            </w:tcMar>
          </w:tcPr>
          <w:p>
            <w:pPr>
              <w:jc w:val="center"/>
            </w:pPr>
            <w:r>
              <w:t>&lt; 1 Year</w:t>
            </w:r>
          </w:p>
        </w:tc>
        <w:tc>
          <w:tcPr>
            <w:tcW w:type="dxa" w:w="1625"/>
            <w:shd w:fill="1B365D"/>
            <w:tcMar>
              <w:top w:w="120" w:type="dxa"/>
              <w:bottom w:w="120" w:type="dxa"/>
              <w:left w:w="150" w:type="dxa"/>
              <w:right w:w="150" w:type="dxa"/>
            </w:tcMar>
          </w:tcPr>
          <w:p>
            <w:pPr>
              <w:jc w:val="center"/>
            </w:pPr>
            <w:r>
              <w:t>1-2 Years</w:t>
            </w:r>
          </w:p>
        </w:tc>
        <w:tc>
          <w:tcPr>
            <w:tcW w:type="dxa" w:w="1625"/>
            <w:shd w:fill="1B365D"/>
            <w:tcMar>
              <w:top w:w="120" w:type="dxa"/>
              <w:bottom w:w="120" w:type="dxa"/>
              <w:left w:w="150" w:type="dxa"/>
              <w:right w:w="150" w:type="dxa"/>
            </w:tcMar>
          </w:tcPr>
          <w:p>
            <w:pPr>
              <w:jc w:val="center"/>
            </w:pPr>
            <w:r>
              <w:t>2-3 Years</w:t>
            </w:r>
          </w:p>
        </w:tc>
        <w:tc>
          <w:tcPr>
            <w:tcW w:type="dxa" w:w="1625"/>
            <w:shd w:fill="1B365D"/>
            <w:tcMar>
              <w:top w:w="120" w:type="dxa"/>
              <w:bottom w:w="120" w:type="dxa"/>
              <w:left w:w="150" w:type="dxa"/>
              <w:right w:w="150" w:type="dxa"/>
            </w:tcMar>
          </w:tcPr>
          <w:p>
            <w:pPr>
              <w:jc w:val="center"/>
            </w:pPr>
            <w:r>
              <w:t>&gt; 3 Years</w:t>
            </w:r>
          </w:p>
        </w:tc>
        <w:tc>
          <w:tcPr>
            <w:tcW w:type="dxa" w:w="1625"/>
            <w:shd w:fill="1B365D"/>
            <w:tcMar>
              <w:top w:w="120" w:type="dxa"/>
              <w:bottom w:w="120" w:type="dxa"/>
              <w:left w:w="150" w:type="dxa"/>
              <w:right w:w="150" w:type="dxa"/>
            </w:tcMar>
          </w:tcPr>
          <w:p>
            <w:pPr>
              <w:jc w:val="center"/>
            </w:pPr>
            <w:r>
              <w:t>Total CWIP</w:t>
            </w:r>
          </w:p>
        </w:tc>
      </w:tr>
      <w:tr>
        <w:tc>
          <w:tcPr>
            <w:tcW w:type="dxa" w:w="1625"/>
            <w:tcMar>
              <w:top w:w="80" w:type="dxa"/>
              <w:bottom w:w="80" w:type="dxa"/>
              <w:left w:w="120" w:type="dxa"/>
              <w:right w:w="120" w:type="dxa"/>
            </w:tcMar>
          </w:tcPr>
          <w:p>
            <w:r>
              <w:rPr>
                <w:rFonts w:ascii="Segoe UI" w:hAnsi="Segoe UI"/>
                <w:sz w:val="18"/>
              </w:rPr>
              <w:t>Rooftop Captive Solar Power Plant (500 KW)</w:t>
            </w:r>
          </w:p>
        </w:tc>
        <w:tc>
          <w:tcPr>
            <w:tcW w:type="dxa" w:w="1625"/>
            <w:tcMar>
              <w:top w:w="80" w:type="dxa"/>
              <w:bottom w:w="80" w:type="dxa"/>
              <w:left w:w="120" w:type="dxa"/>
              <w:right w:w="120" w:type="dxa"/>
            </w:tcMar>
            <w:shd w:fill="F1F5F9"/>
          </w:tcPr>
          <w:p>
            <w:pPr>
              <w:jc w:val="right"/>
            </w:pPr>
            <w:r>
              <w:rPr>
                <w:rFonts w:ascii="Segoe UI" w:hAnsi="Segoe UI"/>
                <w:sz w:val="18"/>
              </w:rPr>
              <w:t>30.00</w:t>
            </w:r>
          </w:p>
        </w:tc>
        <w:tc>
          <w:tcPr>
            <w:tcW w:type="dxa" w:w="1625"/>
            <w:tcMar>
              <w:top w:w="80" w:type="dxa"/>
              <w:bottom w:w="80" w:type="dxa"/>
              <w:left w:w="120" w:type="dxa"/>
              <w:right w:w="120" w:type="dxa"/>
            </w:tcMar>
            <w:shd w:fill="F1F5F9"/>
          </w:tcPr>
          <w:p>
            <w:pPr>
              <w:jc w:val="right"/>
            </w:pPr>
            <w:r>
              <w:rPr>
                <w:rFonts w:ascii="Segoe UI" w:hAnsi="Segoe UI"/>
                <w:sz w:val="18"/>
              </w:rPr>
              <w:t>15.00</w:t>
            </w:r>
          </w:p>
        </w:tc>
        <w:tc>
          <w:tcPr>
            <w:tcW w:type="dxa" w:w="1625"/>
            <w:tcMar>
              <w:top w:w="80" w:type="dxa"/>
              <w:bottom w:w="80" w:type="dxa"/>
              <w:left w:w="120" w:type="dxa"/>
              <w:right w:w="120" w:type="dxa"/>
            </w:tcMar>
            <w:shd w:fill="F1F5F9"/>
          </w:tcPr>
          <w:p>
            <w:pPr>
              <w:jc w:val="right"/>
            </w:pPr>
            <w:r>
              <w:rPr>
                <w:rFonts w:ascii="Segoe UI" w:hAnsi="Segoe UI"/>
                <w:sz w:val="18"/>
              </w:rPr>
              <w:t>0.00</w:t>
            </w:r>
          </w:p>
        </w:tc>
        <w:tc>
          <w:tcPr>
            <w:tcW w:type="dxa" w:w="1625"/>
            <w:tcMar>
              <w:top w:w="80" w:type="dxa"/>
              <w:bottom w:w="80" w:type="dxa"/>
              <w:left w:w="120" w:type="dxa"/>
              <w:right w:w="120" w:type="dxa"/>
            </w:tcMar>
            <w:shd w:fill="F1F5F9"/>
          </w:tcPr>
          <w:p>
            <w:pPr>
              <w:jc w:val="right"/>
            </w:pPr>
            <w:r>
              <w:rPr>
                <w:rFonts w:ascii="Segoe UI" w:hAnsi="Segoe UI"/>
                <w:sz w:val="18"/>
              </w:rPr>
              <w:t>0.00</w:t>
            </w:r>
          </w:p>
        </w:tc>
        <w:tc>
          <w:tcPr>
            <w:tcW w:type="dxa" w:w="1625"/>
            <w:tcMar>
              <w:top w:w="80" w:type="dxa"/>
              <w:bottom w:w="80" w:type="dxa"/>
              <w:left w:w="120" w:type="dxa"/>
              <w:right w:w="120" w:type="dxa"/>
            </w:tcMar>
            <w:shd w:fill="F1F5F9"/>
          </w:tcPr>
          <w:p>
            <w:pPr>
              <w:jc w:val="right"/>
            </w:pPr>
            <w:r>
              <w:rPr>
                <w:rFonts w:ascii="Segoe UI" w:hAnsi="Segoe UI"/>
                <w:sz w:val="18"/>
              </w:rPr>
              <w:t>45.00</w:t>
            </w:r>
          </w:p>
        </w:tc>
      </w:tr>
      <w:tr>
        <w:tc>
          <w:tcPr>
            <w:tcW w:type="dxa" w:w="1625"/>
            <w:tcMar>
              <w:top w:w="80" w:type="dxa"/>
              <w:bottom w:w="80" w:type="dxa"/>
              <w:left w:w="120" w:type="dxa"/>
              <w:right w:w="120" w:type="dxa"/>
            </w:tcMar>
          </w:tcPr>
          <w:p>
            <w:r>
              <w:rPr>
                <w:rFonts w:ascii="Segoe UI" w:hAnsi="Segoe UI"/>
                <w:b/>
                <w:sz w:val="18"/>
              </w:rPr>
              <w:t>TOTAL CAPITAL WORK-IN-PROGRESS</w:t>
            </w:r>
          </w:p>
        </w:tc>
        <w:tc>
          <w:tcPr>
            <w:tcW w:type="dxa" w:w="1625"/>
            <w:tcMar>
              <w:top w:w="80" w:type="dxa"/>
              <w:bottom w:w="80" w:type="dxa"/>
              <w:left w:w="120" w:type="dxa"/>
              <w:right w:w="120" w:type="dxa"/>
            </w:tcMar>
            <w:shd w:fill="F1F5F9"/>
          </w:tcPr>
          <w:p>
            <w:pPr>
              <w:jc w:val="right"/>
            </w:pPr>
            <w:r>
              <w:rPr>
                <w:rFonts w:ascii="Segoe UI" w:hAnsi="Segoe UI"/>
                <w:b/>
                <w:sz w:val="18"/>
              </w:rPr>
              <w:t>45.00</w:t>
            </w:r>
          </w:p>
        </w:tc>
        <w:tc>
          <w:tcPr>
            <w:tcW w:type="dxa" w:w="1625"/>
            <w:tcMar>
              <w:top w:w="80" w:type="dxa"/>
              <w:bottom w:w="80" w:type="dxa"/>
              <w:left w:w="120" w:type="dxa"/>
              <w:right w:w="120" w:type="dxa"/>
            </w:tcMar>
            <w:shd w:fill="F1F5F9"/>
          </w:tcPr>
          <w:p>
            <w:r>
              <w:rPr>
                <w:rFonts w:ascii="Segoe UI" w:hAnsi="Segoe UI"/>
                <w:b/>
                <w:sz w:val="18"/>
              </w:rPr>
            </w:r>
          </w:p>
        </w:tc>
        <w:tc>
          <w:tcPr>
            <w:tcW w:type="dxa" w:w="1625"/>
            <w:tcMar>
              <w:top w:w="80" w:type="dxa"/>
              <w:bottom w:w="80" w:type="dxa"/>
              <w:left w:w="120" w:type="dxa"/>
              <w:right w:w="120" w:type="dxa"/>
            </w:tcMar>
            <w:shd w:fill="F1F5F9"/>
          </w:tcPr>
          <w:p>
            <w:r>
              <w:rPr>
                <w:rFonts w:ascii="Segoe UI" w:hAnsi="Segoe UI"/>
                <w:b/>
                <w:sz w:val="18"/>
              </w:rPr>
            </w:r>
          </w:p>
        </w:tc>
        <w:tc>
          <w:tcPr>
            <w:tcW w:type="dxa" w:w="1625"/>
            <w:tcMar>
              <w:top w:w="80" w:type="dxa"/>
              <w:bottom w:w="80" w:type="dxa"/>
              <w:left w:w="120" w:type="dxa"/>
              <w:right w:w="120" w:type="dxa"/>
            </w:tcMar>
            <w:shd w:fill="F1F5F9"/>
          </w:tcPr>
          <w:p>
            <w:r>
              <w:rPr>
                <w:rFonts w:ascii="Segoe UI" w:hAnsi="Segoe UI"/>
                <w:b/>
                <w:sz w:val="18"/>
              </w:rPr>
            </w:r>
          </w:p>
        </w:tc>
        <w:tc>
          <w:tcPr>
            <w:tcW w:type="dxa" w:w="1625"/>
            <w:tcMar>
              <w:top w:w="80" w:type="dxa"/>
              <w:bottom w:w="80" w:type="dxa"/>
              <w:left w:w="120" w:type="dxa"/>
              <w:right w:w="120" w:type="dxa"/>
            </w:tcMar>
            <w:shd w:fill="F1F5F9"/>
          </w:tcPr>
          <w:p>
            <w:pPr>
              <w:jc w:val="right"/>
            </w:pPr>
            <w:r>
              <w:rPr>
                <w:rFonts w:ascii="Segoe UI" w:hAnsi="Segoe UI"/>
                <w:b/>
                <w:sz w:val="18"/>
              </w:rPr>
              <w:t>45.00</w:t>
            </w:r>
          </w:p>
        </w:tc>
      </w:tr>
    </w:tbl>
    <w:p/>
    <w:p>
      <w:pPr>
        <w:spacing w:after="160"/>
      </w:pPr>
      <w:r>
        <w:rPr>
          <w:rFonts w:ascii="Segoe UI" w:hAnsi="Segoe UI"/>
          <w:sz w:val="18"/>
        </w:rPr>
        <w:t>CWIP Ageing Schedule as per Companies (Accounts) Amendment Rules, 2021.</w:t>
        <w:br/>
        <w:t>All CWIP projects are within normal expected completion timelines. No project is stalled or disputed.</w:t>
        <w:br/>
        <w:t>CWIP is expected to be capitalised to PPE upon commissioning in the next financial year.</w:t>
      </w:r>
    </w:p>
    <w:p>
      <w:pPr>
        <w:keepNext/>
        <w:spacing w:before="200" w:after="40"/>
      </w:pPr>
      <w:r>
        <w:rPr>
          <w:rFonts w:ascii="Segoe UI" w:hAnsi="Segoe UI"/>
          <w:b/>
          <w:color w:val="1B365D"/>
          <w:sz w:val="21"/>
        </w:rPr>
        <w:t>NOTE 4.3: NON-CURRENT INVESTMENTS</w:t>
      </w:r>
    </w:p>
    <w:tbl>
      <w:tblPr>
        <w:tblW w:type="auto" w:w="0"/>
        <w:jc w:val="center"/>
        <w:tblLook w:firstColumn="1" w:firstRow="1" w:lastColumn="0" w:lastRow="0" w:noHBand="0" w:noVBand="1" w:val="04A0"/>
      </w:tblPr>
      <w:tblGrid>
        <w:gridCol w:w="2437"/>
        <w:gridCol w:w="2437"/>
        <w:gridCol w:w="2437"/>
        <w:gridCol w:w="2437"/>
      </w:tblGrid>
      <w:tr>
        <w:tc>
          <w:tcPr>
            <w:tcW w:type="dxa" w:w="2437"/>
            <w:shd w:fill="1B365D"/>
            <w:tcMar>
              <w:top w:w="120" w:type="dxa"/>
              <w:bottom w:w="120" w:type="dxa"/>
              <w:left w:w="150" w:type="dxa"/>
              <w:right w:w="150" w:type="dxa"/>
            </w:tcMar>
          </w:tcPr>
          <w:p>
            <w:pPr>
              <w:jc w:val="center"/>
            </w:pPr>
            <w:r>
              <w:t>Particulars</w:t>
            </w:r>
          </w:p>
        </w:tc>
        <w:tc>
          <w:tcPr>
            <w:tcW w:type="dxa" w:w="2437"/>
            <w:shd w:fill="1B365D"/>
            <w:tcMar>
              <w:top w:w="120" w:type="dxa"/>
              <w:bottom w:w="120" w:type="dxa"/>
              <w:left w:w="150" w:type="dxa"/>
              <w:right w:w="150" w:type="dxa"/>
            </w:tcMar>
          </w:tcPr>
          <w:p>
            <w:pPr>
              <w:jc w:val="center"/>
            </w:pPr>
            <w:r>
              <w:t>No. of Units</w:t>
            </w:r>
          </w:p>
        </w:tc>
        <w:tc>
          <w:tcPr>
            <w:tcW w:type="dxa" w:w="2437"/>
            <w:shd w:fill="1B365D"/>
            <w:tcMar>
              <w:top w:w="120" w:type="dxa"/>
              <w:bottom w:w="120" w:type="dxa"/>
              <w:left w:w="150" w:type="dxa"/>
              <w:right w:w="150" w:type="dxa"/>
            </w:tcMar>
          </w:tcPr>
          <w:p>
            <w:pPr>
              <w:jc w:val="center"/>
            </w:pPr>
            <w:r>
              <w:t>As at FY 2024-25</w:t>
            </w:r>
          </w:p>
        </w:tc>
        <w:tc>
          <w:tcPr>
            <w:tcW w:type="dxa" w:w="2437"/>
            <w:shd w:fill="1B365D"/>
            <w:tcMar>
              <w:top w:w="120" w:type="dxa"/>
              <w:bottom w:w="120" w:type="dxa"/>
              <w:left w:w="150" w:type="dxa"/>
              <w:right w:w="150" w:type="dxa"/>
            </w:tcMar>
          </w:tcPr>
          <w:p>
            <w:pPr>
              <w:jc w:val="center"/>
            </w:pPr>
            <w:r>
              <w:t>As at FY 2023-24</w:t>
            </w:r>
          </w:p>
        </w:tc>
      </w:tr>
      <w:tr>
        <w:tc>
          <w:tcPr>
            <w:tcW w:type="dxa" w:w="2437"/>
            <w:tcMar>
              <w:top w:w="80" w:type="dxa"/>
              <w:bottom w:w="80" w:type="dxa"/>
              <w:left w:w="120" w:type="dxa"/>
              <w:right w:w="120" w:type="dxa"/>
            </w:tcMar>
          </w:tcPr>
          <w:p>
            <w:r>
              <w:rPr>
                <w:rFonts w:ascii="Segoe UI" w:hAnsi="Segoe UI"/>
                <w:sz w:val="18"/>
              </w:rPr>
              <w:t>Unquoted Equity Instruments - at cost:</w:t>
            </w:r>
          </w:p>
        </w:tc>
        <w:tc>
          <w:tcPr>
            <w:tcW w:type="dxa" w:w="2437"/>
            <w:tcMar>
              <w:top w:w="80" w:type="dxa"/>
              <w:bottom w:w="80" w:type="dxa"/>
              <w:left w:w="120" w:type="dxa"/>
              <w:right w:w="120" w:type="dxa"/>
            </w:tcMar>
            <w:shd w:fill="F1F5F9"/>
          </w:tcPr>
          <w:p>
            <w:r>
              <w:rPr>
                <w:rFonts w:ascii="Segoe UI" w:hAnsi="Segoe UI"/>
                <w:sz w:val="18"/>
              </w:rPr>
            </w:r>
          </w:p>
        </w:tc>
        <w:tc>
          <w:tcPr>
            <w:tcW w:type="dxa" w:w="2437"/>
            <w:tcMar>
              <w:top w:w="80" w:type="dxa"/>
              <w:bottom w:w="80" w:type="dxa"/>
              <w:left w:w="120" w:type="dxa"/>
              <w:right w:w="120" w:type="dxa"/>
            </w:tcMar>
            <w:shd w:fill="F1F5F9"/>
          </w:tcPr>
          <w:p>
            <w:r>
              <w:rPr>
                <w:rFonts w:ascii="Segoe UI" w:hAnsi="Segoe UI"/>
                <w:sz w:val="18"/>
              </w:rPr>
            </w:r>
          </w:p>
        </w:tc>
        <w:tc>
          <w:tcPr>
            <w:tcW w:type="dxa" w:w="2437"/>
            <w:tcMar>
              <w:top w:w="80" w:type="dxa"/>
              <w:bottom w:w="80" w:type="dxa"/>
              <w:left w:w="120" w:type="dxa"/>
              <w:right w:w="120" w:type="dxa"/>
            </w:tcMar>
            <w:shd w:fill="F1F5F9"/>
          </w:tcPr>
          <w:p>
            <w:r>
              <w:rPr>
                <w:rFonts w:ascii="Segoe UI" w:hAnsi="Segoe UI"/>
                <w:sz w:val="18"/>
              </w:rPr>
            </w:r>
          </w:p>
        </w:tc>
      </w:tr>
      <w:tr>
        <w:tc>
          <w:tcPr>
            <w:tcW w:type="dxa" w:w="2437"/>
            <w:tcMar>
              <w:top w:w="80" w:type="dxa"/>
              <w:bottom w:w="80" w:type="dxa"/>
              <w:left w:w="120" w:type="dxa"/>
              <w:right w:w="120" w:type="dxa"/>
            </w:tcMar>
          </w:tcPr>
          <w:p>
            <w:r>
              <w:rPr>
                <w:rFonts w:ascii="Segoe UI" w:hAnsi="Segoe UI"/>
                <w:sz w:val="18"/>
              </w:rPr>
              <w:t xml:space="preserve">  Investment in Associate Companies</w:t>
            </w:r>
          </w:p>
        </w:tc>
        <w:tc>
          <w:tcPr>
            <w:tcW w:type="dxa" w:w="2437"/>
            <w:tcMar>
              <w:top w:w="80" w:type="dxa"/>
              <w:bottom w:w="80" w:type="dxa"/>
              <w:left w:w="120" w:type="dxa"/>
              <w:right w:w="120" w:type="dxa"/>
            </w:tcMar>
            <w:shd w:fill="F1F5F9"/>
          </w:tcPr>
          <w:p>
            <w:pPr>
              <w:jc w:val="right"/>
            </w:pPr>
            <w:r>
              <w:rPr>
                <w:rFonts w:ascii="Segoe UI" w:hAnsi="Segoe UI"/>
                <w:sz w:val="18"/>
              </w:rPr>
              <w:t>-</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 xml:space="preserve">  Investment in Other Companies</w:t>
            </w:r>
          </w:p>
        </w:tc>
        <w:tc>
          <w:tcPr>
            <w:tcW w:type="dxa" w:w="2437"/>
            <w:tcMar>
              <w:top w:w="80" w:type="dxa"/>
              <w:bottom w:w="80" w:type="dxa"/>
              <w:left w:w="120" w:type="dxa"/>
              <w:right w:w="120" w:type="dxa"/>
            </w:tcMar>
            <w:shd w:fill="F1F5F9"/>
          </w:tcPr>
          <w:p>
            <w:pPr>
              <w:jc w:val="right"/>
            </w:pPr>
            <w:r>
              <w:rPr>
                <w:rFonts w:ascii="Segoe UI" w:hAnsi="Segoe UI"/>
                <w:sz w:val="18"/>
              </w:rPr>
              <w:t>-</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b/>
                <w:sz w:val="18"/>
              </w:rPr>
              <w:t>TOTAL NON-CURRENT INVESTMENTS</w:t>
            </w:r>
          </w:p>
        </w:tc>
        <w:tc>
          <w:tcPr>
            <w:tcW w:type="dxa" w:w="2437"/>
            <w:tcMar>
              <w:top w:w="80" w:type="dxa"/>
              <w:bottom w:w="80" w:type="dxa"/>
              <w:left w:w="120" w:type="dxa"/>
              <w:right w:w="120" w:type="dxa"/>
            </w:tcMar>
            <w:shd w:fill="F1F5F9"/>
          </w:tcPr>
          <w:p>
            <w:r>
              <w:rPr>
                <w:rFonts w:ascii="Segoe UI" w:hAnsi="Segoe UI"/>
                <w:b/>
                <w:sz w:val="18"/>
              </w:rPr>
            </w:r>
          </w:p>
        </w:tc>
        <w:tc>
          <w:tcPr>
            <w:tcW w:type="dxa" w:w="2437"/>
            <w:tcMar>
              <w:top w:w="80" w:type="dxa"/>
              <w:bottom w:w="80" w:type="dxa"/>
              <w:left w:w="120" w:type="dxa"/>
              <w:right w:w="120" w:type="dxa"/>
            </w:tcMar>
            <w:shd w:fill="F1F5F9"/>
          </w:tcPr>
          <w:p>
            <w:pPr>
              <w:jc w:val="right"/>
            </w:pPr>
            <w:r>
              <w:rPr>
                <w:rFonts w:ascii="Segoe UI" w:hAnsi="Segoe UI"/>
                <w:b/>
                <w:sz w:val="18"/>
              </w:rPr>
              <w:t>0.00</w:t>
            </w:r>
          </w:p>
        </w:tc>
        <w:tc>
          <w:tcPr>
            <w:tcW w:type="dxa" w:w="2437"/>
            <w:tcMar>
              <w:top w:w="80" w:type="dxa"/>
              <w:bottom w:w="80" w:type="dxa"/>
              <w:left w:w="120" w:type="dxa"/>
              <w:right w:w="120" w:type="dxa"/>
            </w:tcMar>
            <w:shd w:fill="F1F5F9"/>
          </w:tcPr>
          <w:p>
            <w:pPr>
              <w:jc w:val="right"/>
            </w:pPr>
            <w:r>
              <w:rPr>
                <w:rFonts w:ascii="Segoe UI" w:hAnsi="Segoe UI"/>
                <w:b/>
                <w:sz w:val="18"/>
              </w:rPr>
              <w:t>0.00</w:t>
            </w:r>
          </w:p>
        </w:tc>
      </w:tr>
    </w:tbl>
    <w:p/>
    <w:p>
      <w:pPr>
        <w:spacing w:after="160"/>
      </w:pPr>
      <w:r>
        <w:rPr>
          <w:rFonts w:ascii="Segoe UI" w:hAnsi="Segoe UI"/>
          <w:sz w:val="18"/>
        </w:rPr>
        <w:t>Non-current investments are stated at cost less provision for diminution in value, if any, as per AS 13.</w:t>
        <w:br/>
        <w:t>Aggregate amount of unquoted investments: Rs 0.00 Lakhs (PY: Rs 0.00 Lakhs).</w:t>
        <w:br/>
        <w:t>Aggregate provision for diminution in value of investments: Rs Nil.</w:t>
      </w:r>
    </w:p>
    <w:p>
      <w:pPr>
        <w:keepNext/>
        <w:spacing w:before="200" w:after="40"/>
      </w:pPr>
      <w:r>
        <w:rPr>
          <w:rFonts w:ascii="Segoe UI" w:hAnsi="Segoe UI"/>
          <w:b/>
          <w:color w:val="1B365D"/>
          <w:sz w:val="21"/>
        </w:rPr>
        <w:t>NOTE 4.4: LONG-TERM LOANS AND ADVANCES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Security Deposits - Considered Good (Unsecured)</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Capital Advances - Considered Good</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Advance Income Tax &amp; TDS Recoverable (Net)</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b/>
                <w:sz w:val="18"/>
              </w:rPr>
              <w:t>TOTAL LONG-TERM LOANS AND ADVANCES</w:t>
            </w:r>
          </w:p>
        </w:tc>
        <w:tc>
          <w:tcPr>
            <w:tcW w:type="dxa" w:w="3250"/>
            <w:tcMar>
              <w:top w:w="80" w:type="dxa"/>
              <w:bottom w:w="80" w:type="dxa"/>
              <w:left w:w="120" w:type="dxa"/>
              <w:right w:w="120" w:type="dxa"/>
            </w:tcMar>
            <w:shd w:fill="F1F5F9"/>
          </w:tcPr>
          <w:p>
            <w:pPr>
              <w:jc w:val="right"/>
            </w:pPr>
            <w:r>
              <w:rPr>
                <w:rFonts w:ascii="Segoe UI" w:hAnsi="Segoe UI"/>
                <w:b/>
                <w:sz w:val="18"/>
              </w:rPr>
              <w:t>0.00</w:t>
            </w:r>
          </w:p>
        </w:tc>
        <w:tc>
          <w:tcPr>
            <w:tcW w:type="dxa" w:w="3250"/>
            <w:tcMar>
              <w:top w:w="80" w:type="dxa"/>
              <w:bottom w:w="80" w:type="dxa"/>
              <w:left w:w="120" w:type="dxa"/>
              <w:right w:w="120" w:type="dxa"/>
            </w:tcMar>
            <w:shd w:fill="F1F5F9"/>
          </w:tcPr>
          <w:p>
            <w:pPr>
              <w:jc w:val="right"/>
            </w:pPr>
            <w:r>
              <w:rPr>
                <w:rFonts w:ascii="Segoe UI" w:hAnsi="Segoe UI"/>
                <w:b/>
                <w:sz w:val="18"/>
              </w:rPr>
              <w:t>0.00</w:t>
            </w:r>
          </w:p>
        </w:tc>
      </w:tr>
    </w:tbl>
    <w:p/>
    <w:p>
      <w:pPr>
        <w:spacing w:after="160"/>
      </w:pPr>
      <w:r>
        <w:rPr>
          <w:rFonts w:ascii="Segoe UI" w:hAnsi="Segoe UI"/>
          <w:sz w:val="18"/>
        </w:rPr>
        <w:t>All long-term loans and advances are unsecured, considered good, and recoverable in cash or in kind. There are no amounts due from Directors or officers.</w:t>
      </w:r>
    </w:p>
    <w:p>
      <w:pPr>
        <w:keepNext/>
        <w:spacing w:before="200" w:after="40"/>
      </w:pPr>
      <w:r>
        <w:rPr>
          <w:rFonts w:ascii="Segoe UI" w:hAnsi="Segoe UI"/>
          <w:b/>
          <w:color w:val="1B365D"/>
          <w:sz w:val="21"/>
        </w:rPr>
        <w:t>NOTE 5.1: INVENTORIES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Raw Materials (at cost - FIFO basis)</w:t>
            </w:r>
          </w:p>
        </w:tc>
        <w:tc>
          <w:tcPr>
            <w:tcW w:type="dxa" w:w="3250"/>
            <w:tcMar>
              <w:top w:w="80" w:type="dxa"/>
              <w:bottom w:w="80" w:type="dxa"/>
              <w:left w:w="120" w:type="dxa"/>
              <w:right w:w="120" w:type="dxa"/>
            </w:tcMar>
            <w:shd w:fill="F1F5F9"/>
          </w:tcPr>
          <w:p>
            <w:pPr>
              <w:jc w:val="right"/>
            </w:pPr>
            <w:r>
              <w:rPr>
                <w:rFonts w:ascii="Segoe UI" w:hAnsi="Segoe UI"/>
                <w:sz w:val="18"/>
              </w:rPr>
              <w:t>58.00</w:t>
            </w:r>
          </w:p>
        </w:tc>
        <w:tc>
          <w:tcPr>
            <w:tcW w:type="dxa" w:w="3250"/>
            <w:tcMar>
              <w:top w:w="80" w:type="dxa"/>
              <w:bottom w:w="80" w:type="dxa"/>
              <w:left w:w="120" w:type="dxa"/>
              <w:right w:w="120" w:type="dxa"/>
            </w:tcMar>
            <w:shd w:fill="F1F5F9"/>
          </w:tcPr>
          <w:p>
            <w:pPr>
              <w:jc w:val="right"/>
            </w:pPr>
            <w:r>
              <w:rPr>
                <w:rFonts w:ascii="Segoe UI" w:hAnsi="Segoe UI"/>
                <w:sz w:val="18"/>
              </w:rPr>
              <w:t>48.00</w:t>
            </w:r>
          </w:p>
        </w:tc>
      </w:tr>
      <w:tr>
        <w:tc>
          <w:tcPr>
            <w:tcW w:type="dxa" w:w="3250"/>
            <w:tcMar>
              <w:top w:w="80" w:type="dxa"/>
              <w:bottom w:w="80" w:type="dxa"/>
              <w:left w:w="120" w:type="dxa"/>
              <w:right w:w="120" w:type="dxa"/>
            </w:tcMar>
          </w:tcPr>
          <w:p>
            <w:r>
              <w:rPr>
                <w:rFonts w:ascii="Segoe UI" w:hAnsi="Segoe UI"/>
                <w:sz w:val="18"/>
              </w:rPr>
              <w:t>Work-in-Progress (at estimated cost)</w:t>
            </w:r>
          </w:p>
        </w:tc>
        <w:tc>
          <w:tcPr>
            <w:tcW w:type="dxa" w:w="3250"/>
            <w:tcMar>
              <w:top w:w="80" w:type="dxa"/>
              <w:bottom w:w="80" w:type="dxa"/>
              <w:left w:w="120" w:type="dxa"/>
              <w:right w:w="120" w:type="dxa"/>
            </w:tcMar>
            <w:shd w:fill="F1F5F9"/>
          </w:tcPr>
          <w:p>
            <w:pPr>
              <w:jc w:val="right"/>
            </w:pPr>
            <w:r>
              <w:rPr>
                <w:rFonts w:ascii="Segoe UI" w:hAnsi="Segoe UI"/>
                <w:sz w:val="18"/>
              </w:rPr>
              <w:t>29.00</w:t>
            </w:r>
          </w:p>
        </w:tc>
        <w:tc>
          <w:tcPr>
            <w:tcW w:type="dxa" w:w="3250"/>
            <w:tcMar>
              <w:top w:w="80" w:type="dxa"/>
              <w:bottom w:w="80" w:type="dxa"/>
              <w:left w:w="120" w:type="dxa"/>
              <w:right w:w="120" w:type="dxa"/>
            </w:tcMar>
            <w:shd w:fill="F1F5F9"/>
          </w:tcPr>
          <w:p>
            <w:pPr>
              <w:jc w:val="right"/>
            </w:pPr>
            <w:r>
              <w:rPr>
                <w:rFonts w:ascii="Segoe UI" w:hAnsi="Segoe UI"/>
                <w:sz w:val="18"/>
              </w:rPr>
              <w:t>24.00</w:t>
            </w:r>
          </w:p>
        </w:tc>
      </w:tr>
      <w:tr>
        <w:tc>
          <w:tcPr>
            <w:tcW w:type="dxa" w:w="3250"/>
            <w:tcMar>
              <w:top w:w="80" w:type="dxa"/>
              <w:bottom w:w="80" w:type="dxa"/>
              <w:left w:w="120" w:type="dxa"/>
              <w:right w:w="120" w:type="dxa"/>
            </w:tcMar>
          </w:tcPr>
          <w:p>
            <w:r>
              <w:rPr>
                <w:rFonts w:ascii="Segoe UI" w:hAnsi="Segoe UI"/>
                <w:sz w:val="18"/>
              </w:rPr>
              <w:t>Finished Goods (at lower of cost and NRV)</w:t>
            </w:r>
          </w:p>
        </w:tc>
        <w:tc>
          <w:tcPr>
            <w:tcW w:type="dxa" w:w="3250"/>
            <w:tcMar>
              <w:top w:w="80" w:type="dxa"/>
              <w:bottom w:w="80" w:type="dxa"/>
              <w:left w:w="120" w:type="dxa"/>
              <w:right w:w="120" w:type="dxa"/>
            </w:tcMar>
            <w:shd w:fill="F1F5F9"/>
          </w:tcPr>
          <w:p>
            <w:pPr>
              <w:jc w:val="right"/>
            </w:pPr>
            <w:r>
              <w:rPr>
                <w:rFonts w:ascii="Segoe UI" w:hAnsi="Segoe UI"/>
                <w:sz w:val="18"/>
              </w:rPr>
              <w:t>43.50</w:t>
            </w:r>
          </w:p>
        </w:tc>
        <w:tc>
          <w:tcPr>
            <w:tcW w:type="dxa" w:w="3250"/>
            <w:tcMar>
              <w:top w:w="80" w:type="dxa"/>
              <w:bottom w:w="80" w:type="dxa"/>
              <w:left w:w="120" w:type="dxa"/>
              <w:right w:w="120" w:type="dxa"/>
            </w:tcMar>
            <w:shd w:fill="F1F5F9"/>
          </w:tcPr>
          <w:p>
            <w:pPr>
              <w:jc w:val="right"/>
            </w:pPr>
            <w:r>
              <w:rPr>
                <w:rFonts w:ascii="Segoe UI" w:hAnsi="Segoe UI"/>
                <w:sz w:val="18"/>
              </w:rPr>
              <w:t>36.00</w:t>
            </w:r>
          </w:p>
        </w:tc>
      </w:tr>
      <w:tr>
        <w:tc>
          <w:tcPr>
            <w:tcW w:type="dxa" w:w="3250"/>
            <w:tcMar>
              <w:top w:w="80" w:type="dxa"/>
              <w:bottom w:w="80" w:type="dxa"/>
              <w:left w:w="120" w:type="dxa"/>
              <w:right w:w="120" w:type="dxa"/>
            </w:tcMar>
          </w:tcPr>
          <w:p>
            <w:r>
              <w:rPr>
                <w:rFonts w:ascii="Segoe UI" w:hAnsi="Segoe UI"/>
                <w:sz w:val="18"/>
              </w:rPr>
              <w:t>Stores, Spares &amp; Consumables</w:t>
            </w:r>
          </w:p>
        </w:tc>
        <w:tc>
          <w:tcPr>
            <w:tcW w:type="dxa" w:w="3250"/>
            <w:tcMar>
              <w:top w:w="80" w:type="dxa"/>
              <w:bottom w:w="80" w:type="dxa"/>
              <w:left w:w="120" w:type="dxa"/>
              <w:right w:w="120" w:type="dxa"/>
            </w:tcMar>
            <w:shd w:fill="F1F5F9"/>
          </w:tcPr>
          <w:p>
            <w:pPr>
              <w:jc w:val="right"/>
            </w:pPr>
            <w:r>
              <w:rPr>
                <w:rFonts w:ascii="Segoe UI" w:hAnsi="Segoe UI"/>
                <w:sz w:val="18"/>
              </w:rPr>
              <w:t>14.50</w:t>
            </w:r>
          </w:p>
        </w:tc>
        <w:tc>
          <w:tcPr>
            <w:tcW w:type="dxa" w:w="3250"/>
            <w:tcMar>
              <w:top w:w="80" w:type="dxa"/>
              <w:bottom w:w="80" w:type="dxa"/>
              <w:left w:w="120" w:type="dxa"/>
              <w:right w:w="120" w:type="dxa"/>
            </w:tcMar>
            <w:shd w:fill="F1F5F9"/>
          </w:tcPr>
          <w:p>
            <w:pPr>
              <w:jc w:val="right"/>
            </w:pPr>
            <w:r>
              <w:rPr>
                <w:rFonts w:ascii="Segoe UI" w:hAnsi="Segoe UI"/>
                <w:sz w:val="18"/>
              </w:rPr>
              <w:t>12.00</w:t>
            </w:r>
          </w:p>
        </w:tc>
      </w:tr>
      <w:tr>
        <w:tc>
          <w:tcPr>
            <w:tcW w:type="dxa" w:w="3250"/>
            <w:tcMar>
              <w:top w:w="80" w:type="dxa"/>
              <w:bottom w:w="80" w:type="dxa"/>
              <w:left w:w="120" w:type="dxa"/>
              <w:right w:w="120" w:type="dxa"/>
            </w:tcMar>
          </w:tcPr>
          <w:p>
            <w:r>
              <w:rPr>
                <w:rFonts w:ascii="Segoe UI" w:hAnsi="Segoe UI"/>
                <w:b/>
                <w:sz w:val="18"/>
              </w:rPr>
              <w:t>TOTAL INVENTORIES</w:t>
            </w:r>
          </w:p>
        </w:tc>
        <w:tc>
          <w:tcPr>
            <w:tcW w:type="dxa" w:w="3250"/>
            <w:tcMar>
              <w:top w:w="80" w:type="dxa"/>
              <w:bottom w:w="80" w:type="dxa"/>
              <w:left w:w="120" w:type="dxa"/>
              <w:right w:w="120" w:type="dxa"/>
            </w:tcMar>
            <w:shd w:fill="F1F5F9"/>
          </w:tcPr>
          <w:p>
            <w:pPr>
              <w:jc w:val="right"/>
            </w:pPr>
            <w:r>
              <w:rPr>
                <w:rFonts w:ascii="Segoe UI" w:hAnsi="Segoe UI"/>
                <w:b/>
                <w:sz w:val="18"/>
              </w:rPr>
              <w:t>145.00</w:t>
            </w:r>
          </w:p>
        </w:tc>
        <w:tc>
          <w:tcPr>
            <w:tcW w:type="dxa" w:w="3250"/>
            <w:tcMar>
              <w:top w:w="80" w:type="dxa"/>
              <w:bottom w:w="80" w:type="dxa"/>
              <w:left w:w="120" w:type="dxa"/>
              <w:right w:w="120" w:type="dxa"/>
            </w:tcMar>
            <w:shd w:fill="F1F5F9"/>
          </w:tcPr>
          <w:p>
            <w:pPr>
              <w:jc w:val="right"/>
            </w:pPr>
            <w:r>
              <w:rPr>
                <w:rFonts w:ascii="Segoe UI" w:hAnsi="Segoe UI"/>
                <w:b/>
                <w:sz w:val="18"/>
              </w:rPr>
              <w:t>120.00</w:t>
            </w:r>
          </w:p>
        </w:tc>
      </w:tr>
    </w:tbl>
    <w:p/>
    <w:p>
      <w:pPr>
        <w:spacing w:after="160"/>
      </w:pPr>
      <w:r>
        <w:rPr>
          <w:rFonts w:ascii="Segoe UI" w:hAnsi="Segoe UI"/>
          <w:sz w:val="18"/>
        </w:rPr>
        <w:t>1. Inventories are valued at lower of cost and net realisable value as per AS 2.</w:t>
        <w:br/>
        <w:t>2. Cost of raw materials is determined on First-In First-Out (FIFO) basis.</w:t>
        <w:br/>
        <w:t>3. Cost of work-in-progress and finished goods includes cost of materials, direct labour and manufacturing overheads.</w:t>
        <w:br/>
        <w:t>4. Provision for slow-moving / obsolete inventory: Rs Nil (PY: Rs Nil).</w:t>
      </w:r>
    </w:p>
    <w:p>
      <w:pPr>
        <w:keepNext/>
        <w:spacing w:before="200" w:after="40"/>
      </w:pPr>
      <w:r>
        <w:rPr>
          <w:rFonts w:ascii="Segoe UI" w:hAnsi="Segoe UI"/>
          <w:b/>
          <w:color w:val="1B365D"/>
          <w:sz w:val="21"/>
        </w:rPr>
        <w:t>NOTE 5.2: TRADE RECEIVABLES</w:t>
      </w:r>
    </w:p>
    <w:tbl>
      <w:tblPr>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c>
          <w:tcPr>
            <w:tcW w:type="dxa" w:w="1219"/>
            <w:shd w:fill="1B365D"/>
            <w:tcMar>
              <w:top w:w="120" w:type="dxa"/>
              <w:bottom w:w="120" w:type="dxa"/>
              <w:left w:w="150" w:type="dxa"/>
              <w:right w:w="150" w:type="dxa"/>
            </w:tcMar>
          </w:tcPr>
          <w:p>
            <w:pPr>
              <w:jc w:val="center"/>
            </w:pPr>
            <w:r>
              <w:t>Customer Name</w:t>
            </w:r>
          </w:p>
        </w:tc>
        <w:tc>
          <w:tcPr>
            <w:tcW w:type="dxa" w:w="1219"/>
            <w:shd w:fill="1B365D"/>
            <w:tcMar>
              <w:top w:w="120" w:type="dxa"/>
              <w:bottom w:w="120" w:type="dxa"/>
              <w:left w:w="150" w:type="dxa"/>
              <w:right w:w="150" w:type="dxa"/>
            </w:tcMar>
          </w:tcPr>
          <w:p>
            <w:pPr>
              <w:jc w:val="center"/>
            </w:pPr>
            <w:r>
              <w:t>Category</w:t>
            </w:r>
          </w:p>
        </w:tc>
        <w:tc>
          <w:tcPr>
            <w:tcW w:type="dxa" w:w="1219"/>
            <w:shd w:fill="1B365D"/>
            <w:tcMar>
              <w:top w:w="120" w:type="dxa"/>
              <w:bottom w:w="120" w:type="dxa"/>
              <w:left w:w="150" w:type="dxa"/>
              <w:right w:w="150" w:type="dxa"/>
            </w:tcMar>
          </w:tcPr>
          <w:p>
            <w:pPr>
              <w:jc w:val="center"/>
            </w:pPr>
            <w:r>
              <w:t>&lt; 6 Months</w:t>
            </w:r>
          </w:p>
        </w:tc>
        <w:tc>
          <w:tcPr>
            <w:tcW w:type="dxa" w:w="1219"/>
            <w:shd w:fill="1B365D"/>
            <w:tcMar>
              <w:top w:w="120" w:type="dxa"/>
              <w:bottom w:w="120" w:type="dxa"/>
              <w:left w:w="150" w:type="dxa"/>
              <w:right w:w="150" w:type="dxa"/>
            </w:tcMar>
          </w:tcPr>
          <w:p>
            <w:pPr>
              <w:jc w:val="center"/>
            </w:pPr>
            <w:r>
              <w:t>6M-1 Year</w:t>
            </w:r>
          </w:p>
        </w:tc>
        <w:tc>
          <w:tcPr>
            <w:tcW w:type="dxa" w:w="1219"/>
            <w:shd w:fill="1B365D"/>
            <w:tcMar>
              <w:top w:w="120" w:type="dxa"/>
              <w:bottom w:w="120" w:type="dxa"/>
              <w:left w:w="150" w:type="dxa"/>
              <w:right w:w="150" w:type="dxa"/>
            </w:tcMar>
          </w:tcPr>
          <w:p>
            <w:pPr>
              <w:jc w:val="center"/>
            </w:pPr>
            <w:r>
              <w:t>1-2 Years</w:t>
            </w:r>
          </w:p>
        </w:tc>
        <w:tc>
          <w:tcPr>
            <w:tcW w:type="dxa" w:w="1219"/>
            <w:shd w:fill="1B365D"/>
            <w:tcMar>
              <w:top w:w="120" w:type="dxa"/>
              <w:bottom w:w="120" w:type="dxa"/>
              <w:left w:w="150" w:type="dxa"/>
              <w:right w:w="150" w:type="dxa"/>
            </w:tcMar>
          </w:tcPr>
          <w:p>
            <w:pPr>
              <w:jc w:val="center"/>
            </w:pPr>
            <w:r>
              <w:t>2-3 Years</w:t>
            </w:r>
          </w:p>
        </w:tc>
        <w:tc>
          <w:tcPr>
            <w:tcW w:type="dxa" w:w="1219"/>
            <w:shd w:fill="1B365D"/>
            <w:tcMar>
              <w:top w:w="120" w:type="dxa"/>
              <w:bottom w:w="120" w:type="dxa"/>
              <w:left w:w="150" w:type="dxa"/>
              <w:right w:w="150" w:type="dxa"/>
            </w:tcMar>
          </w:tcPr>
          <w:p>
            <w:pPr>
              <w:jc w:val="center"/>
            </w:pPr>
            <w:r>
              <w:t>&gt; 3 Years</w:t>
            </w:r>
          </w:p>
        </w:tc>
        <w:tc>
          <w:tcPr>
            <w:tcW w:type="dxa" w:w="1219"/>
            <w:shd w:fill="1B365D"/>
            <w:tcMar>
              <w:top w:w="120" w:type="dxa"/>
              <w:bottom w:w="120" w:type="dxa"/>
              <w:left w:w="150" w:type="dxa"/>
              <w:right w:w="150" w:type="dxa"/>
            </w:tcMar>
          </w:tcPr>
          <w:p>
            <w:pPr>
              <w:jc w:val="center"/>
            </w:pPr>
            <w:r>
              <w:t>Total</w:t>
            </w:r>
          </w:p>
        </w:tc>
      </w:tr>
      <w:tr>
        <w:tc>
          <w:tcPr>
            <w:tcW w:type="dxa" w:w="1219"/>
            <w:tcMar>
              <w:top w:w="80" w:type="dxa"/>
              <w:bottom w:w="80" w:type="dxa"/>
              <w:left w:w="120" w:type="dxa"/>
              <w:right w:w="120" w:type="dxa"/>
            </w:tcMar>
          </w:tcPr>
          <w:p>
            <w:r>
              <w:rPr>
                <w:rFonts w:ascii="Segoe UI" w:hAnsi="Segoe UI"/>
                <w:sz w:val="18"/>
              </w:rPr>
              <w:t>Precision Engineering Solutions Ltd</w:t>
            </w:r>
          </w:p>
        </w:tc>
        <w:tc>
          <w:tcPr>
            <w:tcW w:type="dxa" w:w="1219"/>
            <w:tcMar>
              <w:top w:w="80" w:type="dxa"/>
              <w:bottom w:w="80" w:type="dxa"/>
              <w:left w:w="120" w:type="dxa"/>
              <w:right w:w="120" w:type="dxa"/>
            </w:tcMar>
            <w:shd w:fill="F1F5F9"/>
          </w:tcPr>
          <w:p>
            <w:pPr>
              <w:jc w:val="right"/>
            </w:pPr>
            <w:r>
              <w:rPr>
                <w:rFonts w:ascii="Segoe UI" w:hAnsi="Segoe UI"/>
                <w:sz w:val="18"/>
              </w:rPr>
              <w:t>Undisputed Considered Good</w:t>
            </w:r>
          </w:p>
        </w:tc>
        <w:tc>
          <w:tcPr>
            <w:tcW w:type="dxa" w:w="1219"/>
            <w:tcMar>
              <w:top w:w="80" w:type="dxa"/>
              <w:bottom w:w="80" w:type="dxa"/>
              <w:left w:w="120" w:type="dxa"/>
              <w:right w:w="120" w:type="dxa"/>
            </w:tcMar>
            <w:shd w:fill="F1F5F9"/>
          </w:tcPr>
          <w:p>
            <w:pPr>
              <w:jc w:val="right"/>
            </w:pPr>
            <w:r>
              <w:rPr>
                <w:rFonts w:ascii="Segoe UI" w:hAnsi="Segoe UI"/>
                <w:sz w:val="18"/>
              </w:rPr>
              <w:t>85.00</w:t>
            </w:r>
          </w:p>
        </w:tc>
        <w:tc>
          <w:tcPr>
            <w:tcW w:type="dxa" w:w="1219"/>
            <w:tcMar>
              <w:top w:w="80" w:type="dxa"/>
              <w:bottom w:w="80" w:type="dxa"/>
              <w:left w:w="120" w:type="dxa"/>
              <w:right w:w="120" w:type="dxa"/>
            </w:tcMar>
            <w:shd w:fill="F1F5F9"/>
          </w:tcPr>
          <w:p>
            <w:pPr>
              <w:jc w:val="right"/>
            </w:pPr>
            <w:r>
              <w:rPr>
                <w:rFonts w:ascii="Segoe UI" w:hAnsi="Segoe UI"/>
                <w:sz w:val="18"/>
              </w:rPr>
              <w:t>15.00</w:t>
            </w:r>
          </w:p>
        </w:tc>
        <w:tc>
          <w:tcPr>
            <w:tcW w:type="dxa" w:w="1219"/>
            <w:tcMar>
              <w:top w:w="80" w:type="dxa"/>
              <w:bottom w:w="80" w:type="dxa"/>
              <w:left w:w="120" w:type="dxa"/>
              <w:right w:w="120" w:type="dxa"/>
            </w:tcMar>
            <w:shd w:fill="F1F5F9"/>
          </w:tcPr>
          <w:p>
            <w:pPr>
              <w:jc w:val="right"/>
            </w:pPr>
            <w:r>
              <w:rPr>
                <w:rFonts w:ascii="Segoe UI" w:hAnsi="Segoe UI"/>
                <w:sz w:val="18"/>
              </w:rPr>
              <w:t>0.00</w:t>
            </w:r>
          </w:p>
        </w:tc>
        <w:tc>
          <w:tcPr>
            <w:tcW w:type="dxa" w:w="1219"/>
            <w:tcMar>
              <w:top w:w="80" w:type="dxa"/>
              <w:bottom w:w="80" w:type="dxa"/>
              <w:left w:w="120" w:type="dxa"/>
              <w:right w:w="120" w:type="dxa"/>
            </w:tcMar>
            <w:shd w:fill="F1F5F9"/>
          </w:tcPr>
          <w:p>
            <w:pPr>
              <w:jc w:val="right"/>
            </w:pPr>
            <w:r>
              <w:rPr>
                <w:rFonts w:ascii="Segoe UI" w:hAnsi="Segoe UI"/>
                <w:sz w:val="18"/>
              </w:rPr>
              <w:t>0.00</w:t>
            </w:r>
          </w:p>
        </w:tc>
        <w:tc>
          <w:tcPr>
            <w:tcW w:type="dxa" w:w="1219"/>
            <w:tcMar>
              <w:top w:w="80" w:type="dxa"/>
              <w:bottom w:w="80" w:type="dxa"/>
              <w:left w:w="120" w:type="dxa"/>
              <w:right w:w="120" w:type="dxa"/>
            </w:tcMar>
            <w:shd w:fill="F1F5F9"/>
          </w:tcPr>
          <w:p>
            <w:pPr>
              <w:jc w:val="right"/>
            </w:pPr>
            <w:r>
              <w:rPr>
                <w:rFonts w:ascii="Segoe UI" w:hAnsi="Segoe UI"/>
                <w:sz w:val="18"/>
              </w:rPr>
              <w:t>0.00</w:t>
            </w:r>
          </w:p>
        </w:tc>
        <w:tc>
          <w:tcPr>
            <w:tcW w:type="dxa" w:w="1219"/>
            <w:tcMar>
              <w:top w:w="80" w:type="dxa"/>
              <w:bottom w:w="80" w:type="dxa"/>
              <w:left w:w="120" w:type="dxa"/>
              <w:right w:w="120" w:type="dxa"/>
            </w:tcMar>
            <w:shd w:fill="F1F5F9"/>
          </w:tcPr>
          <w:p>
            <w:pPr>
              <w:jc w:val="right"/>
            </w:pPr>
            <w:r>
              <w:rPr>
                <w:rFonts w:ascii="Segoe UI" w:hAnsi="Segoe UI"/>
                <w:sz w:val="18"/>
              </w:rPr>
              <w:t>100.00</w:t>
            </w:r>
          </w:p>
        </w:tc>
      </w:tr>
      <w:tr>
        <w:tc>
          <w:tcPr>
            <w:tcW w:type="dxa" w:w="1219"/>
            <w:tcMar>
              <w:top w:w="80" w:type="dxa"/>
              <w:bottom w:w="80" w:type="dxa"/>
              <w:left w:w="120" w:type="dxa"/>
              <w:right w:w="120" w:type="dxa"/>
            </w:tcMar>
          </w:tcPr>
          <w:p>
            <w:r>
              <w:rPr>
                <w:rFonts w:ascii="Segoe UI" w:hAnsi="Segoe UI"/>
                <w:sz w:val="18"/>
              </w:rPr>
              <w:t>Bharat Auto Components Pvt Ltd</w:t>
            </w:r>
          </w:p>
        </w:tc>
        <w:tc>
          <w:tcPr>
            <w:tcW w:type="dxa" w:w="1219"/>
            <w:tcMar>
              <w:top w:w="80" w:type="dxa"/>
              <w:bottom w:w="80" w:type="dxa"/>
              <w:left w:w="120" w:type="dxa"/>
              <w:right w:w="120" w:type="dxa"/>
            </w:tcMar>
            <w:shd w:fill="F1F5F9"/>
          </w:tcPr>
          <w:p>
            <w:pPr>
              <w:jc w:val="right"/>
            </w:pPr>
            <w:r>
              <w:rPr>
                <w:rFonts w:ascii="Segoe UI" w:hAnsi="Segoe UI"/>
                <w:sz w:val="18"/>
              </w:rPr>
              <w:t>Undisputed Considered Good</w:t>
            </w:r>
          </w:p>
        </w:tc>
        <w:tc>
          <w:tcPr>
            <w:tcW w:type="dxa" w:w="1219"/>
            <w:tcMar>
              <w:top w:w="80" w:type="dxa"/>
              <w:bottom w:w="80" w:type="dxa"/>
              <w:left w:w="120" w:type="dxa"/>
              <w:right w:w="120" w:type="dxa"/>
            </w:tcMar>
            <w:shd w:fill="F1F5F9"/>
          </w:tcPr>
          <w:p>
            <w:pPr>
              <w:jc w:val="right"/>
            </w:pPr>
            <w:r>
              <w:rPr>
                <w:rFonts w:ascii="Segoe UI" w:hAnsi="Segoe UI"/>
                <w:sz w:val="18"/>
              </w:rPr>
              <w:t>45.00</w:t>
            </w:r>
          </w:p>
        </w:tc>
        <w:tc>
          <w:tcPr>
            <w:tcW w:type="dxa" w:w="1219"/>
            <w:tcMar>
              <w:top w:w="80" w:type="dxa"/>
              <w:bottom w:w="80" w:type="dxa"/>
              <w:left w:w="120" w:type="dxa"/>
              <w:right w:w="120" w:type="dxa"/>
            </w:tcMar>
            <w:shd w:fill="F1F5F9"/>
          </w:tcPr>
          <w:p>
            <w:pPr>
              <w:jc w:val="right"/>
            </w:pPr>
            <w:r>
              <w:rPr>
                <w:rFonts w:ascii="Segoe UI" w:hAnsi="Segoe UI"/>
                <w:sz w:val="18"/>
              </w:rPr>
              <w:t>10.00</w:t>
            </w:r>
          </w:p>
        </w:tc>
        <w:tc>
          <w:tcPr>
            <w:tcW w:type="dxa" w:w="1219"/>
            <w:tcMar>
              <w:top w:w="80" w:type="dxa"/>
              <w:bottom w:w="80" w:type="dxa"/>
              <w:left w:w="120" w:type="dxa"/>
              <w:right w:w="120" w:type="dxa"/>
            </w:tcMar>
            <w:shd w:fill="F1F5F9"/>
          </w:tcPr>
          <w:p>
            <w:pPr>
              <w:jc w:val="right"/>
            </w:pPr>
            <w:r>
              <w:rPr>
                <w:rFonts w:ascii="Segoe UI" w:hAnsi="Segoe UI"/>
                <w:sz w:val="18"/>
              </w:rPr>
              <w:t>5.00</w:t>
            </w:r>
          </w:p>
        </w:tc>
        <w:tc>
          <w:tcPr>
            <w:tcW w:type="dxa" w:w="1219"/>
            <w:tcMar>
              <w:top w:w="80" w:type="dxa"/>
              <w:bottom w:w="80" w:type="dxa"/>
              <w:left w:w="120" w:type="dxa"/>
              <w:right w:w="120" w:type="dxa"/>
            </w:tcMar>
            <w:shd w:fill="F1F5F9"/>
          </w:tcPr>
          <w:p>
            <w:pPr>
              <w:jc w:val="right"/>
            </w:pPr>
            <w:r>
              <w:rPr>
                <w:rFonts w:ascii="Segoe UI" w:hAnsi="Segoe UI"/>
                <w:sz w:val="18"/>
              </w:rPr>
              <w:t>0.00</w:t>
            </w:r>
          </w:p>
        </w:tc>
        <w:tc>
          <w:tcPr>
            <w:tcW w:type="dxa" w:w="1219"/>
            <w:tcMar>
              <w:top w:w="80" w:type="dxa"/>
              <w:bottom w:w="80" w:type="dxa"/>
              <w:left w:w="120" w:type="dxa"/>
              <w:right w:w="120" w:type="dxa"/>
            </w:tcMar>
            <w:shd w:fill="F1F5F9"/>
          </w:tcPr>
          <w:p>
            <w:pPr>
              <w:jc w:val="right"/>
            </w:pPr>
            <w:r>
              <w:rPr>
                <w:rFonts w:ascii="Segoe UI" w:hAnsi="Segoe UI"/>
                <w:sz w:val="18"/>
              </w:rPr>
              <w:t>0.00</w:t>
            </w:r>
          </w:p>
        </w:tc>
        <w:tc>
          <w:tcPr>
            <w:tcW w:type="dxa" w:w="1219"/>
            <w:tcMar>
              <w:top w:w="80" w:type="dxa"/>
              <w:bottom w:w="80" w:type="dxa"/>
              <w:left w:w="120" w:type="dxa"/>
              <w:right w:w="120" w:type="dxa"/>
            </w:tcMar>
            <w:shd w:fill="F1F5F9"/>
          </w:tcPr>
          <w:p>
            <w:pPr>
              <w:jc w:val="right"/>
            </w:pPr>
            <w:r>
              <w:rPr>
                <w:rFonts w:ascii="Segoe UI" w:hAnsi="Segoe UI"/>
                <w:sz w:val="18"/>
              </w:rPr>
              <w:t>60.00</w:t>
            </w:r>
          </w:p>
        </w:tc>
      </w:tr>
      <w:tr>
        <w:tc>
          <w:tcPr>
            <w:tcW w:type="dxa" w:w="1219"/>
            <w:tcMar>
              <w:top w:w="80" w:type="dxa"/>
              <w:bottom w:w="80" w:type="dxa"/>
              <w:left w:w="120" w:type="dxa"/>
              <w:right w:w="120" w:type="dxa"/>
            </w:tcMar>
          </w:tcPr>
          <w:p>
            <w:r>
              <w:rPr>
                <w:rFonts w:ascii="Segoe UI" w:hAnsi="Segoe UI"/>
                <w:sz w:val="18"/>
              </w:rPr>
              <w:t>Apex Heavy Infra Projects</w:t>
            </w:r>
          </w:p>
        </w:tc>
        <w:tc>
          <w:tcPr>
            <w:tcW w:type="dxa" w:w="1219"/>
            <w:tcMar>
              <w:top w:w="80" w:type="dxa"/>
              <w:bottom w:w="80" w:type="dxa"/>
              <w:left w:w="120" w:type="dxa"/>
              <w:right w:w="120" w:type="dxa"/>
            </w:tcMar>
            <w:shd w:fill="F1F5F9"/>
          </w:tcPr>
          <w:p>
            <w:pPr>
              <w:jc w:val="right"/>
            </w:pPr>
            <w:r>
              <w:rPr>
                <w:rFonts w:ascii="Segoe UI" w:hAnsi="Segoe UI"/>
                <w:sz w:val="18"/>
              </w:rPr>
              <w:t>Undisputed Considered Doubtful</w:t>
            </w:r>
          </w:p>
        </w:tc>
        <w:tc>
          <w:tcPr>
            <w:tcW w:type="dxa" w:w="1219"/>
            <w:tcMar>
              <w:top w:w="80" w:type="dxa"/>
              <w:bottom w:w="80" w:type="dxa"/>
              <w:left w:w="120" w:type="dxa"/>
              <w:right w:w="120" w:type="dxa"/>
            </w:tcMar>
            <w:shd w:fill="F1F5F9"/>
          </w:tcPr>
          <w:p>
            <w:pPr>
              <w:jc w:val="right"/>
            </w:pPr>
            <w:r>
              <w:rPr>
                <w:rFonts w:ascii="Segoe UI" w:hAnsi="Segoe UI"/>
                <w:sz w:val="18"/>
              </w:rPr>
              <w:t>0.00</w:t>
            </w:r>
          </w:p>
        </w:tc>
        <w:tc>
          <w:tcPr>
            <w:tcW w:type="dxa" w:w="1219"/>
            <w:tcMar>
              <w:top w:w="80" w:type="dxa"/>
              <w:bottom w:w="80" w:type="dxa"/>
              <w:left w:w="120" w:type="dxa"/>
              <w:right w:w="120" w:type="dxa"/>
            </w:tcMar>
            <w:shd w:fill="F1F5F9"/>
          </w:tcPr>
          <w:p>
            <w:pPr>
              <w:jc w:val="right"/>
            </w:pPr>
            <w:r>
              <w:rPr>
                <w:rFonts w:ascii="Segoe UI" w:hAnsi="Segoe UI"/>
                <w:sz w:val="18"/>
              </w:rPr>
              <w:t>5.00</w:t>
            </w:r>
          </w:p>
        </w:tc>
        <w:tc>
          <w:tcPr>
            <w:tcW w:type="dxa" w:w="1219"/>
            <w:tcMar>
              <w:top w:w="80" w:type="dxa"/>
              <w:bottom w:w="80" w:type="dxa"/>
              <w:left w:w="120" w:type="dxa"/>
              <w:right w:w="120" w:type="dxa"/>
            </w:tcMar>
            <w:shd w:fill="F1F5F9"/>
          </w:tcPr>
          <w:p>
            <w:pPr>
              <w:jc w:val="right"/>
            </w:pPr>
            <w:r>
              <w:rPr>
                <w:rFonts w:ascii="Segoe UI" w:hAnsi="Segoe UI"/>
                <w:sz w:val="18"/>
              </w:rPr>
              <w:t>10.00</w:t>
            </w:r>
          </w:p>
        </w:tc>
        <w:tc>
          <w:tcPr>
            <w:tcW w:type="dxa" w:w="1219"/>
            <w:tcMar>
              <w:top w:w="80" w:type="dxa"/>
              <w:bottom w:w="80" w:type="dxa"/>
              <w:left w:w="120" w:type="dxa"/>
              <w:right w:w="120" w:type="dxa"/>
            </w:tcMar>
            <w:shd w:fill="F1F5F9"/>
          </w:tcPr>
          <w:p>
            <w:pPr>
              <w:jc w:val="right"/>
            </w:pPr>
            <w:r>
              <w:rPr>
                <w:rFonts w:ascii="Segoe UI" w:hAnsi="Segoe UI"/>
                <w:sz w:val="18"/>
              </w:rPr>
              <w:t>0.00</w:t>
            </w:r>
          </w:p>
        </w:tc>
        <w:tc>
          <w:tcPr>
            <w:tcW w:type="dxa" w:w="1219"/>
            <w:tcMar>
              <w:top w:w="80" w:type="dxa"/>
              <w:bottom w:w="80" w:type="dxa"/>
              <w:left w:w="120" w:type="dxa"/>
              <w:right w:w="120" w:type="dxa"/>
            </w:tcMar>
            <w:shd w:fill="F1F5F9"/>
          </w:tcPr>
          <w:p>
            <w:pPr>
              <w:jc w:val="right"/>
            </w:pPr>
            <w:r>
              <w:rPr>
                <w:rFonts w:ascii="Segoe UI" w:hAnsi="Segoe UI"/>
                <w:sz w:val="18"/>
              </w:rPr>
              <w:t>0.00</w:t>
            </w:r>
          </w:p>
        </w:tc>
        <w:tc>
          <w:tcPr>
            <w:tcW w:type="dxa" w:w="1219"/>
            <w:tcMar>
              <w:top w:w="80" w:type="dxa"/>
              <w:bottom w:w="80" w:type="dxa"/>
              <w:left w:w="120" w:type="dxa"/>
              <w:right w:w="120" w:type="dxa"/>
            </w:tcMar>
            <w:shd w:fill="F1F5F9"/>
          </w:tcPr>
          <w:p>
            <w:pPr>
              <w:jc w:val="right"/>
            </w:pPr>
            <w:r>
              <w:rPr>
                <w:rFonts w:ascii="Segoe UI" w:hAnsi="Segoe UI"/>
                <w:sz w:val="18"/>
              </w:rPr>
              <w:t>15.00</w:t>
            </w:r>
          </w:p>
        </w:tc>
      </w:tr>
      <w:tr>
        <w:tc>
          <w:tcPr>
            <w:tcW w:type="dxa" w:w="1219"/>
            <w:tcMar>
              <w:top w:w="80" w:type="dxa"/>
              <w:bottom w:w="80" w:type="dxa"/>
              <w:left w:w="120" w:type="dxa"/>
              <w:right w:w="120" w:type="dxa"/>
            </w:tcMar>
          </w:tcPr>
          <w:p>
            <w:r>
              <w:rPr>
                <w:rFonts w:ascii="Segoe UI" w:hAnsi="Segoe UI"/>
                <w:b/>
                <w:sz w:val="18"/>
              </w:rPr>
              <w:t>TOTAL TRADE RECEIVABLES</w:t>
            </w:r>
          </w:p>
        </w:tc>
        <w:tc>
          <w:tcPr>
            <w:tcW w:type="dxa" w:w="1219"/>
            <w:tcMar>
              <w:top w:w="80" w:type="dxa"/>
              <w:bottom w:w="80" w:type="dxa"/>
              <w:left w:w="120" w:type="dxa"/>
              <w:right w:w="120" w:type="dxa"/>
            </w:tcMar>
            <w:shd w:fill="F1F5F9"/>
          </w:tcPr>
          <w:p>
            <w:r>
              <w:rPr>
                <w:rFonts w:ascii="Segoe UI" w:hAnsi="Segoe UI"/>
                <w:b/>
                <w:sz w:val="18"/>
              </w:rPr>
            </w:r>
          </w:p>
        </w:tc>
        <w:tc>
          <w:tcPr>
            <w:tcW w:type="dxa" w:w="1219"/>
            <w:tcMar>
              <w:top w:w="80" w:type="dxa"/>
              <w:bottom w:w="80" w:type="dxa"/>
              <w:left w:w="120" w:type="dxa"/>
              <w:right w:w="120" w:type="dxa"/>
            </w:tcMar>
            <w:shd w:fill="F1F5F9"/>
          </w:tcPr>
          <w:p>
            <w:pPr>
              <w:jc w:val="right"/>
            </w:pPr>
            <w:r>
              <w:rPr>
                <w:rFonts w:ascii="Segoe UI" w:hAnsi="Segoe UI"/>
                <w:b/>
                <w:sz w:val="18"/>
              </w:rPr>
              <w:t>175.00</w:t>
            </w:r>
          </w:p>
        </w:tc>
        <w:tc>
          <w:tcPr>
            <w:tcW w:type="dxa" w:w="1219"/>
            <w:tcMar>
              <w:top w:w="80" w:type="dxa"/>
              <w:bottom w:w="80" w:type="dxa"/>
              <w:left w:w="120" w:type="dxa"/>
              <w:right w:w="120" w:type="dxa"/>
            </w:tcMar>
            <w:shd w:fill="F1F5F9"/>
          </w:tcPr>
          <w:p>
            <w:r>
              <w:rPr>
                <w:rFonts w:ascii="Segoe UI" w:hAnsi="Segoe UI"/>
                <w:b/>
                <w:sz w:val="18"/>
              </w:rPr>
            </w:r>
          </w:p>
        </w:tc>
        <w:tc>
          <w:tcPr>
            <w:tcW w:type="dxa" w:w="1219"/>
            <w:tcMar>
              <w:top w:w="80" w:type="dxa"/>
              <w:bottom w:w="80" w:type="dxa"/>
              <w:left w:w="120" w:type="dxa"/>
              <w:right w:w="120" w:type="dxa"/>
            </w:tcMar>
            <w:shd w:fill="F1F5F9"/>
          </w:tcPr>
          <w:p>
            <w:r>
              <w:rPr>
                <w:rFonts w:ascii="Segoe UI" w:hAnsi="Segoe UI"/>
                <w:b/>
                <w:sz w:val="18"/>
              </w:rPr>
            </w:r>
          </w:p>
        </w:tc>
        <w:tc>
          <w:tcPr>
            <w:tcW w:type="dxa" w:w="1219"/>
            <w:tcMar>
              <w:top w:w="80" w:type="dxa"/>
              <w:bottom w:w="80" w:type="dxa"/>
              <w:left w:w="120" w:type="dxa"/>
              <w:right w:w="120" w:type="dxa"/>
            </w:tcMar>
            <w:shd w:fill="F1F5F9"/>
          </w:tcPr>
          <w:p>
            <w:r>
              <w:rPr>
                <w:rFonts w:ascii="Segoe UI" w:hAnsi="Segoe UI"/>
                <w:b/>
                <w:sz w:val="18"/>
              </w:rPr>
            </w:r>
          </w:p>
        </w:tc>
        <w:tc>
          <w:tcPr>
            <w:tcW w:type="dxa" w:w="1219"/>
            <w:tcMar>
              <w:top w:w="80" w:type="dxa"/>
              <w:bottom w:w="80" w:type="dxa"/>
              <w:left w:w="120" w:type="dxa"/>
              <w:right w:w="120" w:type="dxa"/>
            </w:tcMar>
            <w:shd w:fill="F1F5F9"/>
          </w:tcPr>
          <w:p>
            <w:r>
              <w:rPr>
                <w:rFonts w:ascii="Segoe UI" w:hAnsi="Segoe UI"/>
                <w:b/>
                <w:sz w:val="18"/>
              </w:rPr>
            </w:r>
          </w:p>
        </w:tc>
        <w:tc>
          <w:tcPr>
            <w:tcW w:type="dxa" w:w="1219"/>
            <w:tcMar>
              <w:top w:w="80" w:type="dxa"/>
              <w:bottom w:w="80" w:type="dxa"/>
              <w:left w:w="120" w:type="dxa"/>
              <w:right w:w="120" w:type="dxa"/>
            </w:tcMar>
            <w:shd w:fill="F1F5F9"/>
          </w:tcPr>
          <w:p>
            <w:pPr>
              <w:jc w:val="right"/>
            </w:pPr>
            <w:r>
              <w:rPr>
                <w:rFonts w:ascii="Segoe UI" w:hAnsi="Segoe UI"/>
                <w:b/>
                <w:sz w:val="18"/>
              </w:rPr>
              <w:t>175.00</w:t>
            </w:r>
          </w:p>
        </w:tc>
      </w:tr>
    </w:tbl>
    <w:p/>
    <w:p>
      <w:pPr>
        <w:spacing w:after="160"/>
      </w:pPr>
      <w:r>
        <w:rPr>
          <w:rFonts w:ascii="Segoe UI" w:hAnsi="Segoe UI"/>
          <w:sz w:val="18"/>
        </w:rPr>
        <w:t>Trade Receivables Ageing - as per Companies (Accounts) Amendment Rules, 2021.</w:t>
        <w:br/>
        <w:t>All trade receivables are unsecured. Undisputed Considered Good balances are subject to confirmation and reconciliation.</w:t>
        <w:br/>
        <w:t>Provision for Expected Credit Loss (ECL): Rs Nil as at FY 2024-25 (PY: Rs Nil).</w:t>
      </w:r>
    </w:p>
    <w:p>
      <w:pPr>
        <w:keepNext/>
        <w:spacing w:before="200" w:after="40"/>
      </w:pPr>
      <w:r>
        <w:rPr>
          <w:rFonts w:ascii="Segoe UI" w:hAnsi="Segoe UI"/>
          <w:b/>
          <w:color w:val="1B365D"/>
          <w:sz w:val="21"/>
        </w:rPr>
        <w:t>NOTE 5.3: CASH AND BANK BALANCES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A. Cash and Cash Equivalents:</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Cash in Hand</w:t>
            </w:r>
          </w:p>
        </w:tc>
        <w:tc>
          <w:tcPr>
            <w:tcW w:type="dxa" w:w="3250"/>
            <w:tcMar>
              <w:top w:w="80" w:type="dxa"/>
              <w:bottom w:w="80" w:type="dxa"/>
              <w:left w:w="120" w:type="dxa"/>
              <w:right w:w="120" w:type="dxa"/>
            </w:tcMar>
            <w:shd w:fill="F1F5F9"/>
          </w:tcPr>
          <w:p>
            <w:pPr>
              <w:jc w:val="right"/>
            </w:pPr>
            <w:r>
              <w:rPr>
                <w:rFonts w:ascii="Segoe UI" w:hAnsi="Segoe UI"/>
                <w:sz w:val="18"/>
              </w:rPr>
              <w:t>8.75</w:t>
            </w:r>
          </w:p>
        </w:tc>
        <w:tc>
          <w:tcPr>
            <w:tcW w:type="dxa" w:w="3250"/>
            <w:tcMar>
              <w:top w:w="80" w:type="dxa"/>
              <w:bottom w:w="80" w:type="dxa"/>
              <w:left w:w="120" w:type="dxa"/>
              <w:right w:w="120" w:type="dxa"/>
            </w:tcMar>
            <w:shd w:fill="F1F5F9"/>
          </w:tcPr>
          <w:p>
            <w:pPr>
              <w:jc w:val="right"/>
            </w:pPr>
            <w:r>
              <w:rPr>
                <w:rFonts w:ascii="Segoe UI" w:hAnsi="Segoe UI"/>
                <w:sz w:val="18"/>
              </w:rPr>
              <w:t>7.75</w:t>
            </w:r>
          </w:p>
        </w:tc>
      </w:tr>
      <w:tr>
        <w:tc>
          <w:tcPr>
            <w:tcW w:type="dxa" w:w="3250"/>
            <w:tcMar>
              <w:top w:w="80" w:type="dxa"/>
              <w:bottom w:w="80" w:type="dxa"/>
              <w:left w:w="120" w:type="dxa"/>
              <w:right w:w="120" w:type="dxa"/>
            </w:tcMar>
          </w:tcPr>
          <w:p>
            <w:r>
              <w:rPr>
                <w:rFonts w:ascii="Segoe UI" w:hAnsi="Segoe UI"/>
                <w:sz w:val="18"/>
              </w:rPr>
              <w:t xml:space="preserve">  Balances with Banks - Current Accounts</w:t>
            </w:r>
          </w:p>
        </w:tc>
        <w:tc>
          <w:tcPr>
            <w:tcW w:type="dxa" w:w="3250"/>
            <w:tcMar>
              <w:top w:w="80" w:type="dxa"/>
              <w:bottom w:w="80" w:type="dxa"/>
              <w:left w:w="120" w:type="dxa"/>
              <w:right w:w="120" w:type="dxa"/>
            </w:tcMar>
            <w:shd w:fill="F1F5F9"/>
          </w:tcPr>
          <w:p>
            <w:pPr>
              <w:jc w:val="right"/>
            </w:pPr>
            <w:r>
              <w:rPr>
                <w:rFonts w:ascii="Segoe UI" w:hAnsi="Segoe UI"/>
                <w:sz w:val="18"/>
              </w:rPr>
              <w:t>96.25</w:t>
            </w:r>
          </w:p>
        </w:tc>
        <w:tc>
          <w:tcPr>
            <w:tcW w:type="dxa" w:w="3250"/>
            <w:tcMar>
              <w:top w:w="80" w:type="dxa"/>
              <w:bottom w:w="80" w:type="dxa"/>
              <w:left w:w="120" w:type="dxa"/>
              <w:right w:w="120" w:type="dxa"/>
            </w:tcMar>
            <w:shd w:fill="F1F5F9"/>
          </w:tcPr>
          <w:p>
            <w:pPr>
              <w:jc w:val="right"/>
            </w:pPr>
            <w:r>
              <w:rPr>
                <w:rFonts w:ascii="Segoe UI" w:hAnsi="Segoe UI"/>
                <w:sz w:val="18"/>
              </w:rPr>
              <w:t>85.25</w:t>
            </w:r>
          </w:p>
        </w:tc>
      </w:tr>
      <w:tr>
        <w:tc>
          <w:tcPr>
            <w:tcW w:type="dxa" w:w="3250"/>
            <w:tcMar>
              <w:top w:w="80" w:type="dxa"/>
              <w:bottom w:w="80" w:type="dxa"/>
              <w:left w:w="120" w:type="dxa"/>
              <w:right w:w="120" w:type="dxa"/>
            </w:tcMar>
          </w:tcPr>
          <w:p>
            <w:r>
              <w:rPr>
                <w:rFonts w:ascii="Segoe UI" w:hAnsi="Segoe UI"/>
                <w:sz w:val="18"/>
              </w:rPr>
              <w:t xml:space="preserve">  Bank Fixed Deposits (Original Maturity up to 3 months)</w:t>
            </w:r>
          </w:p>
        </w:tc>
        <w:tc>
          <w:tcPr>
            <w:tcW w:type="dxa" w:w="3250"/>
            <w:tcMar>
              <w:top w:w="80" w:type="dxa"/>
              <w:bottom w:w="80" w:type="dxa"/>
              <w:left w:w="120" w:type="dxa"/>
              <w:right w:w="120" w:type="dxa"/>
            </w:tcMar>
            <w:shd w:fill="F1F5F9"/>
          </w:tcPr>
          <w:p>
            <w:pPr>
              <w:jc w:val="right"/>
            </w:pPr>
            <w:r>
              <w:rPr>
                <w:rFonts w:ascii="Segoe UI" w:hAnsi="Segoe UI"/>
                <w:sz w:val="18"/>
              </w:rPr>
              <w:t>35.00</w:t>
            </w:r>
          </w:p>
        </w:tc>
        <w:tc>
          <w:tcPr>
            <w:tcW w:type="dxa" w:w="3250"/>
            <w:tcMar>
              <w:top w:w="80" w:type="dxa"/>
              <w:bottom w:w="80" w:type="dxa"/>
              <w:left w:w="120" w:type="dxa"/>
              <w:right w:w="120" w:type="dxa"/>
            </w:tcMar>
            <w:shd w:fill="F1F5F9"/>
          </w:tcPr>
          <w:p>
            <w:pPr>
              <w:jc w:val="right"/>
            </w:pPr>
            <w:r>
              <w:rPr>
                <w:rFonts w:ascii="Segoe UI" w:hAnsi="Segoe UI"/>
                <w:sz w:val="18"/>
              </w:rPr>
              <w:t>31.00</w:t>
            </w:r>
          </w:p>
        </w:tc>
      </w:tr>
      <w:tr>
        <w:tc>
          <w:tcPr>
            <w:tcW w:type="dxa" w:w="3250"/>
            <w:tcMar>
              <w:top w:w="80" w:type="dxa"/>
              <w:bottom w:w="80" w:type="dxa"/>
              <w:left w:w="120" w:type="dxa"/>
              <w:right w:w="120" w:type="dxa"/>
            </w:tcMar>
          </w:tcPr>
          <w:p>
            <w:r>
              <w:rPr>
                <w:rFonts w:ascii="Segoe UI" w:hAnsi="Segoe UI"/>
                <w:sz w:val="18"/>
              </w:rPr>
              <w:t xml:space="preserve">  Total Cash &amp; Cash Equivalents  (A)</w:t>
            </w:r>
          </w:p>
        </w:tc>
        <w:tc>
          <w:tcPr>
            <w:tcW w:type="dxa" w:w="3250"/>
            <w:tcMar>
              <w:top w:w="80" w:type="dxa"/>
              <w:bottom w:w="80" w:type="dxa"/>
              <w:left w:w="120" w:type="dxa"/>
              <w:right w:w="120" w:type="dxa"/>
            </w:tcMar>
            <w:shd w:fill="F1F5F9"/>
          </w:tcPr>
          <w:p>
            <w:pPr>
              <w:jc w:val="right"/>
            </w:pPr>
            <w:r>
              <w:rPr>
                <w:rFonts w:ascii="Segoe UI" w:hAnsi="Segoe UI"/>
                <w:sz w:val="18"/>
              </w:rPr>
              <w:t>140.00</w:t>
            </w:r>
          </w:p>
        </w:tc>
        <w:tc>
          <w:tcPr>
            <w:tcW w:type="dxa" w:w="3250"/>
            <w:tcMar>
              <w:top w:w="80" w:type="dxa"/>
              <w:bottom w:w="80" w:type="dxa"/>
              <w:left w:w="120" w:type="dxa"/>
              <w:right w:w="120" w:type="dxa"/>
            </w:tcMar>
            <w:shd w:fill="F1F5F9"/>
          </w:tcPr>
          <w:p>
            <w:pPr>
              <w:jc w:val="right"/>
            </w:pPr>
            <w:r>
              <w:rPr>
                <w:rFonts w:ascii="Segoe UI" w:hAnsi="Segoe UI"/>
                <w:sz w:val="18"/>
              </w:rPr>
              <w:t>124.00</w:t>
            </w:r>
          </w:p>
        </w:tc>
      </w:tr>
      <w:tr>
        <w:tc>
          <w:tcPr>
            <w:tcW w:type="dxa" w:w="3250"/>
            <w:tcMar>
              <w:top w:w="80" w:type="dxa"/>
              <w:bottom w:w="80" w:type="dxa"/>
              <w:left w:w="120" w:type="dxa"/>
              <w:right w:w="120" w:type="dxa"/>
            </w:tcMar>
          </w:tcPr>
          <w:p>
            <w:r>
              <w:rPr>
                <w:rFonts w:ascii="Segoe UI" w:hAnsi="Segoe UI"/>
                <w:sz w:val="18"/>
              </w:rPr>
              <w:t>B. Other Bank Balances:</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Bank Fixed Deposits (Maturity &gt; 3 months, pledged as margin)</w:t>
            </w:r>
          </w:p>
        </w:tc>
        <w:tc>
          <w:tcPr>
            <w:tcW w:type="dxa" w:w="3250"/>
            <w:tcMar>
              <w:top w:w="80" w:type="dxa"/>
              <w:bottom w:w="80" w:type="dxa"/>
              <w:left w:w="120" w:type="dxa"/>
              <w:right w:w="120" w:type="dxa"/>
            </w:tcMar>
            <w:shd w:fill="F1F5F9"/>
          </w:tcPr>
          <w:p>
            <w:pPr>
              <w:jc w:val="right"/>
            </w:pPr>
            <w:r>
              <w:rPr>
                <w:rFonts w:ascii="Segoe UI" w:hAnsi="Segoe UI"/>
                <w:sz w:val="18"/>
              </w:rPr>
              <w:t>35.00</w:t>
            </w:r>
          </w:p>
        </w:tc>
        <w:tc>
          <w:tcPr>
            <w:tcW w:type="dxa" w:w="3250"/>
            <w:tcMar>
              <w:top w:w="80" w:type="dxa"/>
              <w:bottom w:w="80" w:type="dxa"/>
              <w:left w:w="120" w:type="dxa"/>
              <w:right w:w="120" w:type="dxa"/>
            </w:tcMar>
            <w:shd w:fill="F1F5F9"/>
          </w:tcPr>
          <w:p>
            <w:pPr>
              <w:jc w:val="right"/>
            </w:pPr>
            <w:r>
              <w:rPr>
                <w:rFonts w:ascii="Segoe UI" w:hAnsi="Segoe UI"/>
                <w:sz w:val="18"/>
              </w:rPr>
              <w:t>31.00</w:t>
            </w:r>
          </w:p>
        </w:tc>
      </w:tr>
      <w:tr>
        <w:tc>
          <w:tcPr>
            <w:tcW w:type="dxa" w:w="3250"/>
            <w:tcMar>
              <w:top w:w="80" w:type="dxa"/>
              <w:bottom w:w="80" w:type="dxa"/>
              <w:left w:w="120" w:type="dxa"/>
              <w:right w:w="120" w:type="dxa"/>
            </w:tcMar>
          </w:tcPr>
          <w:p>
            <w:r>
              <w:rPr>
                <w:rFonts w:ascii="Segoe UI" w:hAnsi="Segoe UI"/>
                <w:sz w:val="18"/>
              </w:rPr>
              <w:t xml:space="preserve">  Total Other Bank Balances  (B)</w:t>
            </w:r>
          </w:p>
        </w:tc>
        <w:tc>
          <w:tcPr>
            <w:tcW w:type="dxa" w:w="3250"/>
            <w:tcMar>
              <w:top w:w="80" w:type="dxa"/>
              <w:bottom w:w="80" w:type="dxa"/>
              <w:left w:w="120" w:type="dxa"/>
              <w:right w:w="120" w:type="dxa"/>
            </w:tcMar>
            <w:shd w:fill="F1F5F9"/>
          </w:tcPr>
          <w:p>
            <w:pPr>
              <w:jc w:val="right"/>
            </w:pPr>
            <w:r>
              <w:rPr>
                <w:rFonts w:ascii="Segoe UI" w:hAnsi="Segoe UI"/>
                <w:sz w:val="18"/>
              </w:rPr>
              <w:t>35.00</w:t>
            </w:r>
          </w:p>
        </w:tc>
        <w:tc>
          <w:tcPr>
            <w:tcW w:type="dxa" w:w="3250"/>
            <w:tcMar>
              <w:top w:w="80" w:type="dxa"/>
              <w:bottom w:w="80" w:type="dxa"/>
              <w:left w:w="120" w:type="dxa"/>
              <w:right w:w="120" w:type="dxa"/>
            </w:tcMar>
            <w:shd w:fill="F1F5F9"/>
          </w:tcPr>
          <w:p>
            <w:pPr>
              <w:jc w:val="right"/>
            </w:pPr>
            <w:r>
              <w:rPr>
                <w:rFonts w:ascii="Segoe UI" w:hAnsi="Segoe UI"/>
                <w:sz w:val="18"/>
              </w:rPr>
              <w:t>31.00</w:t>
            </w:r>
          </w:p>
        </w:tc>
      </w:tr>
      <w:tr>
        <w:tc>
          <w:tcPr>
            <w:tcW w:type="dxa" w:w="3250"/>
            <w:tcMar>
              <w:top w:w="80" w:type="dxa"/>
              <w:bottom w:w="80" w:type="dxa"/>
              <w:left w:w="120" w:type="dxa"/>
              <w:right w:w="120" w:type="dxa"/>
            </w:tcMar>
          </w:tcPr>
          <w:p>
            <w:r>
              <w:rPr>
                <w:rFonts w:ascii="Segoe UI" w:hAnsi="Segoe UI"/>
                <w:b/>
                <w:sz w:val="18"/>
              </w:rPr>
              <w:t>TOTAL CASH AND BANK BALANCES  (A + B)</w:t>
            </w:r>
          </w:p>
        </w:tc>
        <w:tc>
          <w:tcPr>
            <w:tcW w:type="dxa" w:w="3250"/>
            <w:tcMar>
              <w:top w:w="80" w:type="dxa"/>
              <w:bottom w:w="80" w:type="dxa"/>
              <w:left w:w="120" w:type="dxa"/>
              <w:right w:w="120" w:type="dxa"/>
            </w:tcMar>
            <w:shd w:fill="F1F5F9"/>
          </w:tcPr>
          <w:p>
            <w:pPr>
              <w:jc w:val="right"/>
            </w:pPr>
            <w:r>
              <w:rPr>
                <w:rFonts w:ascii="Segoe UI" w:hAnsi="Segoe UI"/>
                <w:b/>
                <w:sz w:val="18"/>
              </w:rPr>
              <w:t>175.00</w:t>
            </w:r>
          </w:p>
        </w:tc>
        <w:tc>
          <w:tcPr>
            <w:tcW w:type="dxa" w:w="3250"/>
            <w:tcMar>
              <w:top w:w="80" w:type="dxa"/>
              <w:bottom w:w="80" w:type="dxa"/>
              <w:left w:w="120" w:type="dxa"/>
              <w:right w:w="120" w:type="dxa"/>
            </w:tcMar>
            <w:shd w:fill="F1F5F9"/>
          </w:tcPr>
          <w:p>
            <w:pPr>
              <w:jc w:val="right"/>
            </w:pPr>
            <w:r>
              <w:rPr>
                <w:rFonts w:ascii="Segoe UI" w:hAnsi="Segoe UI"/>
                <w:b/>
                <w:sz w:val="18"/>
              </w:rPr>
              <w:t>155.00</w:t>
            </w:r>
          </w:p>
        </w:tc>
      </w:tr>
    </w:tbl>
    <w:p/>
    <w:p>
      <w:pPr>
        <w:spacing w:after="160"/>
      </w:pPr>
      <w:r>
        <w:rPr>
          <w:rFonts w:ascii="Segoe UI" w:hAnsi="Segoe UI"/>
          <w:sz w:val="18"/>
        </w:rPr>
        <w:t>Bank Fixed Deposits pledged as margin money are not freely available for use.</w:t>
        <w:br/>
        <w:t>Details of bank accounts maintained:</w:t>
        <w:br/>
        <w:t xml:space="preserve">  HDFC Bank - Current Account (Primary Operations)</w:t>
        <w:br/>
        <w:t xml:space="preserve">  ICICI Bank - Current Account (Working Capital linked)</w:t>
        <w:br/>
        <w:t>There are no restrictions on withdrawal of cash or bank balances other than those disclosed above.</w:t>
      </w:r>
    </w:p>
    <w:p>
      <w:pPr>
        <w:keepNext/>
        <w:spacing w:before="200" w:after="40"/>
      </w:pPr>
      <w:r>
        <w:rPr>
          <w:rFonts w:ascii="Segoe UI" w:hAnsi="Segoe UI"/>
          <w:b/>
          <w:color w:val="1B365D"/>
          <w:sz w:val="21"/>
        </w:rPr>
        <w:t>NOTE 5.4: SHORT-TERM LOANS AND ADVANCES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Advance to Suppliers - Considered Good</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Prepaid Expenses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GST Input Tax Credit Receivable</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Advance to Employees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Other Short-term Advances - Considered Good</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b/>
                <w:sz w:val="18"/>
              </w:rPr>
              <w:t>TOTAL SHORT-TERM LOANS AND ADVANCES</w:t>
            </w:r>
          </w:p>
        </w:tc>
        <w:tc>
          <w:tcPr>
            <w:tcW w:type="dxa" w:w="3250"/>
            <w:tcMar>
              <w:top w:w="80" w:type="dxa"/>
              <w:bottom w:w="80" w:type="dxa"/>
              <w:left w:w="120" w:type="dxa"/>
              <w:right w:w="120" w:type="dxa"/>
            </w:tcMar>
            <w:shd w:fill="F1F5F9"/>
          </w:tcPr>
          <w:p>
            <w:pPr>
              <w:jc w:val="right"/>
            </w:pPr>
            <w:r>
              <w:rPr>
                <w:rFonts w:ascii="Segoe UI" w:hAnsi="Segoe UI"/>
                <w:b/>
                <w:sz w:val="18"/>
              </w:rPr>
              <w:t>0.00</w:t>
            </w:r>
          </w:p>
        </w:tc>
        <w:tc>
          <w:tcPr>
            <w:tcW w:type="dxa" w:w="3250"/>
            <w:tcMar>
              <w:top w:w="80" w:type="dxa"/>
              <w:bottom w:w="80" w:type="dxa"/>
              <w:left w:w="120" w:type="dxa"/>
              <w:right w:w="120" w:type="dxa"/>
            </w:tcMar>
            <w:shd w:fill="F1F5F9"/>
          </w:tcPr>
          <w:p>
            <w:pPr>
              <w:jc w:val="right"/>
            </w:pPr>
            <w:r>
              <w:rPr>
                <w:rFonts w:ascii="Segoe UI" w:hAnsi="Segoe UI"/>
                <w:b/>
                <w:sz w:val="18"/>
              </w:rPr>
              <w:t>0.00</w:t>
            </w:r>
          </w:p>
        </w:tc>
      </w:tr>
    </w:tbl>
    <w:p/>
    <w:p>
      <w:pPr>
        <w:spacing w:after="160"/>
      </w:pPr>
      <w:r>
        <w:rPr>
          <w:rFonts w:ascii="Segoe UI" w:hAnsi="Segoe UI"/>
          <w:sz w:val="18"/>
        </w:rPr>
        <w:t>All short-term loans and advances are unsecured, considered good, and recoverable in cash or in kind within 12 months.</w:t>
      </w:r>
    </w:p>
    <w:p>
      <w:pPr>
        <w:keepNext/>
        <w:spacing w:before="200" w:after="40"/>
      </w:pPr>
      <w:r>
        <w:rPr>
          <w:rFonts w:ascii="Segoe UI" w:hAnsi="Segoe UI"/>
          <w:b/>
          <w:color w:val="1B365D"/>
          <w:sz w:val="21"/>
        </w:rPr>
        <w:t>NOTE 5.5: OTHER CURRENT ASSETS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Interest Accrued on Fixed Deposits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Other Receivables &amp; Accruals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b/>
                <w:sz w:val="18"/>
              </w:rPr>
              <w:t>TOTAL OTHER CURRENT ASSETS</w:t>
            </w:r>
          </w:p>
        </w:tc>
        <w:tc>
          <w:tcPr>
            <w:tcW w:type="dxa" w:w="3250"/>
            <w:tcMar>
              <w:top w:w="80" w:type="dxa"/>
              <w:bottom w:w="80" w:type="dxa"/>
              <w:left w:w="120" w:type="dxa"/>
              <w:right w:w="120" w:type="dxa"/>
            </w:tcMar>
            <w:shd w:fill="F1F5F9"/>
          </w:tcPr>
          <w:p>
            <w:pPr>
              <w:jc w:val="right"/>
            </w:pPr>
            <w:r>
              <w:rPr>
                <w:rFonts w:ascii="Segoe UI" w:hAnsi="Segoe UI"/>
                <w:b/>
                <w:sz w:val="18"/>
              </w:rPr>
              <w:t>0.00</w:t>
            </w:r>
          </w:p>
        </w:tc>
        <w:tc>
          <w:tcPr>
            <w:tcW w:type="dxa" w:w="3250"/>
            <w:tcMar>
              <w:top w:w="80" w:type="dxa"/>
              <w:bottom w:w="80" w:type="dxa"/>
              <w:left w:w="120" w:type="dxa"/>
              <w:right w:w="120" w:type="dxa"/>
            </w:tcMar>
            <w:shd w:fill="F1F5F9"/>
          </w:tcPr>
          <w:p>
            <w:pPr>
              <w:jc w:val="right"/>
            </w:pPr>
            <w:r>
              <w:rPr>
                <w:rFonts w:ascii="Segoe UI" w:hAnsi="Segoe UI"/>
                <w:b/>
                <w:sz w:val="18"/>
              </w:rPr>
              <w:t>0.00</w:t>
            </w:r>
          </w:p>
        </w:tc>
      </w:tr>
    </w:tbl>
    <w:p/>
    <w:p>
      <w:pPr>
        <w:spacing w:after="160"/>
      </w:pPr>
      <w:r>
        <w:rPr>
          <w:rFonts w:ascii="Segoe UI" w:hAnsi="Segoe UI"/>
          <w:sz w:val="18"/>
        </w:rPr>
        <w:t>Other current assets include interest accrued on bank fixed deposits and other receivables recoverable within 12 months.</w:t>
      </w:r>
    </w:p>
    <w:p>
      <w:pPr>
        <w:keepNext/>
        <w:spacing w:before="200" w:after="40"/>
      </w:pPr>
      <w:r>
        <w:rPr>
          <w:rFonts w:ascii="Segoe UI" w:hAnsi="Segoe UI"/>
          <w:b/>
          <w:color w:val="1B365D"/>
          <w:sz w:val="21"/>
        </w:rPr>
        <w:t>NOTE 6.1: REVENUE FROM OPERATIONS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Year ended FY 2024-25</w:t>
            </w:r>
          </w:p>
        </w:tc>
        <w:tc>
          <w:tcPr>
            <w:tcW w:type="dxa" w:w="3250"/>
            <w:shd w:fill="1B365D"/>
            <w:tcMar>
              <w:top w:w="120" w:type="dxa"/>
              <w:bottom w:w="120" w:type="dxa"/>
              <w:left w:w="150" w:type="dxa"/>
              <w:right w:w="150" w:type="dxa"/>
            </w:tcMar>
          </w:tcPr>
          <w:p>
            <w:pPr>
              <w:jc w:val="center"/>
            </w:pPr>
            <w:r>
              <w:t>Year ended FY 2023-24</w:t>
            </w:r>
          </w:p>
        </w:tc>
      </w:tr>
      <w:tr>
        <w:tc>
          <w:tcPr>
            <w:tcW w:type="dxa" w:w="3250"/>
            <w:tcMar>
              <w:top w:w="80" w:type="dxa"/>
              <w:bottom w:w="80" w:type="dxa"/>
              <w:left w:w="120" w:type="dxa"/>
              <w:right w:w="120" w:type="dxa"/>
            </w:tcMar>
          </w:tcPr>
          <w:p>
            <w:r>
              <w:rPr>
                <w:rFonts w:ascii="Segoe UI" w:hAnsi="Segoe UI"/>
                <w:sz w:val="18"/>
              </w:rPr>
              <w:t>(a) Sale of Manufactured Products:</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Domestic Sales</w:t>
            </w:r>
          </w:p>
        </w:tc>
        <w:tc>
          <w:tcPr>
            <w:tcW w:type="dxa" w:w="3250"/>
            <w:tcMar>
              <w:top w:w="80" w:type="dxa"/>
              <w:bottom w:w="80" w:type="dxa"/>
              <w:left w:w="120" w:type="dxa"/>
              <w:right w:w="120" w:type="dxa"/>
            </w:tcMar>
            <w:shd w:fill="F1F5F9"/>
          </w:tcPr>
          <w:p>
            <w:pPr>
              <w:jc w:val="right"/>
            </w:pPr>
            <w:r>
              <w:rPr>
                <w:rFonts w:ascii="Segoe UI" w:hAnsi="Segoe UI"/>
                <w:sz w:val="18"/>
              </w:rPr>
              <w:t>765.00</w:t>
            </w:r>
          </w:p>
        </w:tc>
        <w:tc>
          <w:tcPr>
            <w:tcW w:type="dxa" w:w="3250"/>
            <w:tcMar>
              <w:top w:w="80" w:type="dxa"/>
              <w:bottom w:w="80" w:type="dxa"/>
              <w:left w:w="120" w:type="dxa"/>
              <w:right w:w="120" w:type="dxa"/>
            </w:tcMar>
            <w:shd w:fill="F1F5F9"/>
          </w:tcPr>
          <w:p>
            <w:pPr>
              <w:jc w:val="right"/>
            </w:pPr>
            <w:r>
              <w:rPr>
                <w:rFonts w:ascii="Segoe UI" w:hAnsi="Segoe UI"/>
                <w:sz w:val="18"/>
              </w:rPr>
              <w:t>630.00</w:t>
            </w:r>
          </w:p>
        </w:tc>
      </w:tr>
      <w:tr>
        <w:tc>
          <w:tcPr>
            <w:tcW w:type="dxa" w:w="3250"/>
            <w:tcMar>
              <w:top w:w="80" w:type="dxa"/>
              <w:bottom w:w="80" w:type="dxa"/>
              <w:left w:w="120" w:type="dxa"/>
              <w:right w:w="120" w:type="dxa"/>
            </w:tcMar>
          </w:tcPr>
          <w:p>
            <w:r>
              <w:rPr>
                <w:rFonts w:ascii="Segoe UI" w:hAnsi="Segoe UI"/>
                <w:sz w:val="18"/>
              </w:rPr>
              <w:t xml:space="preserve">    Export Sales</w:t>
            </w:r>
          </w:p>
        </w:tc>
        <w:tc>
          <w:tcPr>
            <w:tcW w:type="dxa" w:w="3250"/>
            <w:tcMar>
              <w:top w:w="80" w:type="dxa"/>
              <w:bottom w:w="80" w:type="dxa"/>
              <w:left w:w="120" w:type="dxa"/>
              <w:right w:w="120" w:type="dxa"/>
            </w:tcMar>
            <w:shd w:fill="F1F5F9"/>
          </w:tcPr>
          <w:p>
            <w:pPr>
              <w:jc w:val="right"/>
            </w:pPr>
            <w:r>
              <w:rPr>
                <w:rFonts w:ascii="Segoe UI" w:hAnsi="Segoe UI"/>
                <w:sz w:val="18"/>
              </w:rPr>
              <w:t>85.00</w:t>
            </w:r>
          </w:p>
        </w:tc>
        <w:tc>
          <w:tcPr>
            <w:tcW w:type="dxa" w:w="3250"/>
            <w:tcMar>
              <w:top w:w="80" w:type="dxa"/>
              <w:bottom w:w="80" w:type="dxa"/>
              <w:left w:w="120" w:type="dxa"/>
              <w:right w:w="120" w:type="dxa"/>
            </w:tcMar>
            <w:shd w:fill="F1F5F9"/>
          </w:tcPr>
          <w:p>
            <w:pPr>
              <w:jc w:val="right"/>
            </w:pPr>
            <w:r>
              <w:rPr>
                <w:rFonts w:ascii="Segoe UI" w:hAnsi="Segoe UI"/>
                <w:sz w:val="18"/>
              </w:rPr>
              <w:t>70.00</w:t>
            </w:r>
          </w:p>
        </w:tc>
      </w:tr>
      <w:tr>
        <w:tc>
          <w:tcPr>
            <w:tcW w:type="dxa" w:w="3250"/>
            <w:tcMar>
              <w:top w:w="80" w:type="dxa"/>
              <w:bottom w:w="80" w:type="dxa"/>
              <w:left w:w="120" w:type="dxa"/>
              <w:right w:w="120" w:type="dxa"/>
            </w:tcMar>
          </w:tcPr>
          <w:p>
            <w:r>
              <w:rPr>
                <w:rFonts w:ascii="Segoe UI" w:hAnsi="Segoe UI"/>
                <w:sz w:val="18"/>
              </w:rPr>
              <w:t>(b) Sale of Services / Job Work Income</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(c) Other Operating Revenue</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b/>
                <w:sz w:val="18"/>
              </w:rPr>
              <w:t>TOTAL REVENUE FROM OPERATIONS</w:t>
            </w:r>
          </w:p>
        </w:tc>
        <w:tc>
          <w:tcPr>
            <w:tcW w:type="dxa" w:w="3250"/>
            <w:tcMar>
              <w:top w:w="80" w:type="dxa"/>
              <w:bottom w:w="80" w:type="dxa"/>
              <w:left w:w="120" w:type="dxa"/>
              <w:right w:w="120" w:type="dxa"/>
            </w:tcMar>
            <w:shd w:fill="F1F5F9"/>
          </w:tcPr>
          <w:p>
            <w:pPr>
              <w:jc w:val="right"/>
            </w:pPr>
            <w:r>
              <w:rPr>
                <w:rFonts w:ascii="Segoe UI" w:hAnsi="Segoe UI"/>
                <w:b/>
                <w:sz w:val="18"/>
              </w:rPr>
              <w:t>850.00</w:t>
            </w:r>
          </w:p>
        </w:tc>
        <w:tc>
          <w:tcPr>
            <w:tcW w:type="dxa" w:w="3250"/>
            <w:tcMar>
              <w:top w:w="80" w:type="dxa"/>
              <w:bottom w:w="80" w:type="dxa"/>
              <w:left w:w="120" w:type="dxa"/>
              <w:right w:w="120" w:type="dxa"/>
            </w:tcMar>
            <w:shd w:fill="F1F5F9"/>
          </w:tcPr>
          <w:p>
            <w:pPr>
              <w:jc w:val="right"/>
            </w:pPr>
            <w:r>
              <w:rPr>
                <w:rFonts w:ascii="Segoe UI" w:hAnsi="Segoe UI"/>
                <w:b/>
                <w:sz w:val="18"/>
              </w:rPr>
              <w:t>700.00</w:t>
            </w:r>
          </w:p>
        </w:tc>
      </w:tr>
    </w:tbl>
    <w:p/>
    <w:p>
      <w:pPr>
        <w:spacing w:after="160"/>
      </w:pPr>
      <w:r>
        <w:rPr>
          <w:rFonts w:ascii="Segoe UI" w:hAnsi="Segoe UI"/>
          <w:sz w:val="18"/>
        </w:rPr>
        <w:t>Revenue recognition: Revenue from sale of manufactured goods is recognised upon transfer of significant risks and rewards of ownership, which generally coincides with dispatch and delivery to customers.</w:t>
        <w:br/>
        <w:t>Goods and Services Tax (GST) is presented net of revenues in accordance with IGAAP principles.</w:t>
      </w:r>
    </w:p>
    <w:p>
      <w:pPr>
        <w:keepNext/>
        <w:spacing w:before="200" w:after="40"/>
      </w:pPr>
      <w:r>
        <w:rPr>
          <w:rFonts w:ascii="Segoe UI" w:hAnsi="Segoe UI"/>
          <w:b/>
          <w:color w:val="1B365D"/>
          <w:sz w:val="21"/>
        </w:rPr>
        <w:t>NOTE 6.2: OTHER INCOME</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Year ended FY 2024-25</w:t>
            </w:r>
          </w:p>
        </w:tc>
        <w:tc>
          <w:tcPr>
            <w:tcW w:type="dxa" w:w="3250"/>
            <w:shd w:fill="1B365D"/>
            <w:tcMar>
              <w:top w:w="120" w:type="dxa"/>
              <w:bottom w:w="120" w:type="dxa"/>
              <w:left w:w="150" w:type="dxa"/>
              <w:right w:w="150" w:type="dxa"/>
            </w:tcMar>
          </w:tcPr>
          <w:p>
            <w:pPr>
              <w:jc w:val="center"/>
            </w:pPr>
            <w:r>
              <w:t>Year ended FY 2023-24</w:t>
            </w:r>
          </w:p>
        </w:tc>
      </w:tr>
      <w:tr>
        <w:tc>
          <w:tcPr>
            <w:tcW w:type="dxa" w:w="3250"/>
            <w:tcMar>
              <w:top w:w="80" w:type="dxa"/>
              <w:bottom w:w="80" w:type="dxa"/>
              <w:left w:w="120" w:type="dxa"/>
              <w:right w:w="120" w:type="dxa"/>
            </w:tcMar>
          </w:tcPr>
          <w:p>
            <w:r>
              <w:rPr>
                <w:rFonts w:ascii="Segoe UI" w:hAnsi="Segoe UI"/>
                <w:sz w:val="18"/>
              </w:rPr>
              <w:t>Interest Income on Bank Fixed Deposits</w:t>
            </w:r>
          </w:p>
        </w:tc>
        <w:tc>
          <w:tcPr>
            <w:tcW w:type="dxa" w:w="3250"/>
            <w:tcMar>
              <w:top w:w="80" w:type="dxa"/>
              <w:bottom w:w="80" w:type="dxa"/>
              <w:left w:w="120" w:type="dxa"/>
              <w:right w:w="120" w:type="dxa"/>
            </w:tcMar>
            <w:shd w:fill="F1F5F9"/>
          </w:tcPr>
          <w:p>
            <w:pPr>
              <w:jc w:val="right"/>
            </w:pPr>
            <w:r>
              <w:rPr>
                <w:rFonts w:ascii="Segoe UI" w:hAnsi="Segoe UI"/>
                <w:sz w:val="18"/>
              </w:rPr>
              <w:t>10.50</w:t>
            </w:r>
          </w:p>
        </w:tc>
        <w:tc>
          <w:tcPr>
            <w:tcW w:type="dxa" w:w="3250"/>
            <w:tcMar>
              <w:top w:w="80" w:type="dxa"/>
              <w:bottom w:w="80" w:type="dxa"/>
              <w:left w:w="120" w:type="dxa"/>
              <w:right w:w="120" w:type="dxa"/>
            </w:tcMar>
            <w:shd w:fill="F1F5F9"/>
          </w:tcPr>
          <w:p>
            <w:pPr>
              <w:jc w:val="right"/>
            </w:pPr>
            <w:r>
              <w:rPr>
                <w:rFonts w:ascii="Segoe UI" w:hAnsi="Segoe UI"/>
                <w:sz w:val="18"/>
              </w:rPr>
              <w:t>7.00</w:t>
            </w:r>
          </w:p>
        </w:tc>
      </w:tr>
      <w:tr>
        <w:tc>
          <w:tcPr>
            <w:tcW w:type="dxa" w:w="3250"/>
            <w:tcMar>
              <w:top w:w="80" w:type="dxa"/>
              <w:bottom w:w="80" w:type="dxa"/>
              <w:left w:w="120" w:type="dxa"/>
              <w:right w:w="120" w:type="dxa"/>
            </w:tcMar>
          </w:tcPr>
          <w:p>
            <w:r>
              <w:rPr>
                <w:rFonts w:ascii="Segoe UI" w:hAnsi="Segoe UI"/>
                <w:sz w:val="18"/>
              </w:rPr>
              <w:t>Profit on Sale of Fixed Assets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Liabilities / Provisions no longer required written back</w:t>
            </w:r>
          </w:p>
        </w:tc>
        <w:tc>
          <w:tcPr>
            <w:tcW w:type="dxa" w:w="3250"/>
            <w:tcMar>
              <w:top w:w="80" w:type="dxa"/>
              <w:bottom w:w="80" w:type="dxa"/>
              <w:left w:w="120" w:type="dxa"/>
              <w:right w:w="120" w:type="dxa"/>
            </w:tcMar>
            <w:shd w:fill="F1F5F9"/>
          </w:tcPr>
          <w:p>
            <w:pPr>
              <w:jc w:val="right"/>
            </w:pPr>
            <w:r>
              <w:rPr>
                <w:rFonts w:ascii="Segoe UI" w:hAnsi="Segoe UI"/>
                <w:sz w:val="18"/>
              </w:rPr>
              <w:t>3.00</w:t>
            </w:r>
          </w:p>
        </w:tc>
        <w:tc>
          <w:tcPr>
            <w:tcW w:type="dxa" w:w="3250"/>
            <w:tcMar>
              <w:top w:w="80" w:type="dxa"/>
              <w:bottom w:w="80" w:type="dxa"/>
              <w:left w:w="120" w:type="dxa"/>
              <w:right w:w="120" w:type="dxa"/>
            </w:tcMar>
            <w:shd w:fill="F1F5F9"/>
          </w:tcPr>
          <w:p>
            <w:pPr>
              <w:jc w:val="right"/>
            </w:pPr>
            <w:r>
              <w:rPr>
                <w:rFonts w:ascii="Segoe UI" w:hAnsi="Segoe UI"/>
                <w:sz w:val="18"/>
              </w:rPr>
              <w:t>2.00</w:t>
            </w:r>
          </w:p>
        </w:tc>
      </w:tr>
      <w:tr>
        <w:tc>
          <w:tcPr>
            <w:tcW w:type="dxa" w:w="3250"/>
            <w:tcMar>
              <w:top w:w="80" w:type="dxa"/>
              <w:bottom w:w="80" w:type="dxa"/>
              <w:left w:w="120" w:type="dxa"/>
              <w:right w:w="120" w:type="dxa"/>
            </w:tcMar>
          </w:tcPr>
          <w:p>
            <w:r>
              <w:rPr>
                <w:rFonts w:ascii="Segoe UI" w:hAnsi="Segoe UI"/>
                <w:sz w:val="18"/>
              </w:rPr>
              <w:t>Miscellaneous Income</w:t>
            </w:r>
          </w:p>
        </w:tc>
        <w:tc>
          <w:tcPr>
            <w:tcW w:type="dxa" w:w="3250"/>
            <w:tcMar>
              <w:top w:w="80" w:type="dxa"/>
              <w:bottom w:w="80" w:type="dxa"/>
              <w:left w:w="120" w:type="dxa"/>
              <w:right w:w="120" w:type="dxa"/>
            </w:tcMar>
            <w:shd w:fill="F1F5F9"/>
          </w:tcPr>
          <w:p>
            <w:pPr>
              <w:jc w:val="right"/>
            </w:pPr>
            <w:r>
              <w:rPr>
                <w:rFonts w:ascii="Segoe UI" w:hAnsi="Segoe UI"/>
                <w:sz w:val="18"/>
              </w:rPr>
              <w:t>1.50</w:t>
            </w:r>
          </w:p>
        </w:tc>
        <w:tc>
          <w:tcPr>
            <w:tcW w:type="dxa" w:w="3250"/>
            <w:tcMar>
              <w:top w:w="80" w:type="dxa"/>
              <w:bottom w:w="80" w:type="dxa"/>
              <w:left w:w="120" w:type="dxa"/>
              <w:right w:w="120" w:type="dxa"/>
            </w:tcMar>
            <w:shd w:fill="F1F5F9"/>
          </w:tcPr>
          <w:p>
            <w:pPr>
              <w:jc w:val="right"/>
            </w:pPr>
            <w:r>
              <w:rPr>
                <w:rFonts w:ascii="Segoe UI" w:hAnsi="Segoe UI"/>
                <w:sz w:val="18"/>
              </w:rPr>
              <w:t>1.00</w:t>
            </w:r>
          </w:p>
        </w:tc>
      </w:tr>
      <w:tr>
        <w:tc>
          <w:tcPr>
            <w:tcW w:type="dxa" w:w="3250"/>
            <w:tcMar>
              <w:top w:w="80" w:type="dxa"/>
              <w:bottom w:w="80" w:type="dxa"/>
              <w:left w:w="120" w:type="dxa"/>
              <w:right w:w="120" w:type="dxa"/>
            </w:tcMar>
          </w:tcPr>
          <w:p>
            <w:r>
              <w:rPr>
                <w:rFonts w:ascii="Segoe UI" w:hAnsi="Segoe UI"/>
                <w:b/>
                <w:sz w:val="18"/>
              </w:rPr>
              <w:t>TOTAL OTHER INCOME</w:t>
            </w:r>
          </w:p>
        </w:tc>
        <w:tc>
          <w:tcPr>
            <w:tcW w:type="dxa" w:w="3250"/>
            <w:tcMar>
              <w:top w:w="80" w:type="dxa"/>
              <w:bottom w:w="80" w:type="dxa"/>
              <w:left w:w="120" w:type="dxa"/>
              <w:right w:w="120" w:type="dxa"/>
            </w:tcMar>
            <w:shd w:fill="F1F5F9"/>
          </w:tcPr>
          <w:p>
            <w:pPr>
              <w:jc w:val="right"/>
            </w:pPr>
            <w:r>
              <w:rPr>
                <w:rFonts w:ascii="Segoe UI" w:hAnsi="Segoe UI"/>
                <w:b/>
                <w:sz w:val="18"/>
              </w:rPr>
              <w:t>15.00</w:t>
            </w:r>
          </w:p>
        </w:tc>
        <w:tc>
          <w:tcPr>
            <w:tcW w:type="dxa" w:w="3250"/>
            <w:tcMar>
              <w:top w:w="80" w:type="dxa"/>
              <w:bottom w:w="80" w:type="dxa"/>
              <w:left w:w="120" w:type="dxa"/>
              <w:right w:w="120" w:type="dxa"/>
            </w:tcMar>
            <w:shd w:fill="F1F5F9"/>
          </w:tcPr>
          <w:p>
            <w:pPr>
              <w:jc w:val="right"/>
            </w:pPr>
            <w:r>
              <w:rPr>
                <w:rFonts w:ascii="Segoe UI" w:hAnsi="Segoe UI"/>
                <w:b/>
                <w:sz w:val="18"/>
              </w:rPr>
              <w:t>10.00</w:t>
            </w:r>
          </w:p>
        </w:tc>
      </w:tr>
    </w:tbl>
    <w:p/>
    <w:p>
      <w:pPr>
        <w:spacing w:after="160"/>
      </w:pPr>
      <w:r>
        <w:rPr>
          <w:rFonts w:ascii="Segoe UI" w:hAnsi="Segoe UI"/>
          <w:sz w:val="18"/>
        </w:rPr>
        <w:t>Interest income is recognised on time proportion basis taking into account the amount outstanding and applicable interest rate.</w:t>
      </w:r>
    </w:p>
    <w:p>
      <w:pPr>
        <w:keepNext/>
        <w:spacing w:before="200" w:after="40"/>
      </w:pPr>
      <w:r>
        <w:rPr>
          <w:rFonts w:ascii="Segoe UI" w:hAnsi="Segoe UI"/>
          <w:b/>
          <w:color w:val="1B365D"/>
          <w:sz w:val="21"/>
        </w:rPr>
        <w:t>NOTE 7.1: COST OF MATERIALS CONSUMED</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Year ended FY 2024-25</w:t>
            </w:r>
          </w:p>
        </w:tc>
        <w:tc>
          <w:tcPr>
            <w:tcW w:type="dxa" w:w="3250"/>
            <w:shd w:fill="1B365D"/>
            <w:tcMar>
              <w:top w:w="120" w:type="dxa"/>
              <w:bottom w:w="120" w:type="dxa"/>
              <w:left w:w="150" w:type="dxa"/>
              <w:right w:w="150" w:type="dxa"/>
            </w:tcMar>
          </w:tcPr>
          <w:p>
            <w:pPr>
              <w:jc w:val="center"/>
            </w:pPr>
            <w:r>
              <w:t>Year ended FY 2023-24</w:t>
            </w:r>
          </w:p>
        </w:tc>
      </w:tr>
      <w:tr>
        <w:tc>
          <w:tcPr>
            <w:tcW w:type="dxa" w:w="3250"/>
            <w:tcMar>
              <w:top w:w="80" w:type="dxa"/>
              <w:bottom w:w="80" w:type="dxa"/>
              <w:left w:w="120" w:type="dxa"/>
              <w:right w:w="120" w:type="dxa"/>
            </w:tcMar>
          </w:tcPr>
          <w:p>
            <w:r>
              <w:rPr>
                <w:rFonts w:ascii="Segoe UI" w:hAnsi="Segoe UI"/>
                <w:sz w:val="18"/>
              </w:rPr>
              <w:t>(a) Cost of Raw Materials Consumed:</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Opening Stock of Raw Materials</w:t>
            </w:r>
          </w:p>
        </w:tc>
        <w:tc>
          <w:tcPr>
            <w:tcW w:type="dxa" w:w="3250"/>
            <w:tcMar>
              <w:top w:w="80" w:type="dxa"/>
              <w:bottom w:w="80" w:type="dxa"/>
              <w:left w:w="120" w:type="dxa"/>
              <w:right w:w="120" w:type="dxa"/>
            </w:tcMar>
            <w:shd w:fill="F1F5F9"/>
          </w:tcPr>
          <w:p>
            <w:pPr>
              <w:jc w:val="right"/>
            </w:pPr>
            <w:r>
              <w:rPr>
                <w:rFonts w:ascii="Segoe UI" w:hAnsi="Segoe UI"/>
                <w:sz w:val="18"/>
              </w:rPr>
              <w:t>75.60</w:t>
            </w:r>
          </w:p>
        </w:tc>
        <w:tc>
          <w:tcPr>
            <w:tcW w:type="dxa" w:w="3250"/>
            <w:tcMar>
              <w:top w:w="80" w:type="dxa"/>
              <w:bottom w:w="80" w:type="dxa"/>
              <w:left w:w="120" w:type="dxa"/>
              <w:right w:w="120" w:type="dxa"/>
            </w:tcMar>
            <w:shd w:fill="F1F5F9"/>
          </w:tcPr>
          <w:p>
            <w:pPr>
              <w:jc w:val="right"/>
            </w:pPr>
            <w:r>
              <w:rPr>
                <w:rFonts w:ascii="Segoe UI" w:hAnsi="Segoe UI"/>
                <w:sz w:val="18"/>
              </w:rPr>
              <w:t>63.00</w:t>
            </w:r>
          </w:p>
        </w:tc>
      </w:tr>
      <w:tr>
        <w:tc>
          <w:tcPr>
            <w:tcW w:type="dxa" w:w="3250"/>
            <w:tcMar>
              <w:top w:w="80" w:type="dxa"/>
              <w:bottom w:w="80" w:type="dxa"/>
              <w:left w:w="120" w:type="dxa"/>
              <w:right w:w="120" w:type="dxa"/>
            </w:tcMar>
          </w:tcPr>
          <w:p>
            <w:r>
              <w:rPr>
                <w:rFonts w:ascii="Segoe UI" w:hAnsi="Segoe UI"/>
                <w:sz w:val="18"/>
              </w:rPr>
              <w:t xml:space="preserve">    Add: Purchases of Raw Materials</w:t>
            </w:r>
          </w:p>
        </w:tc>
        <w:tc>
          <w:tcPr>
            <w:tcW w:type="dxa" w:w="3250"/>
            <w:tcMar>
              <w:top w:w="80" w:type="dxa"/>
              <w:bottom w:w="80" w:type="dxa"/>
              <w:left w:w="120" w:type="dxa"/>
              <w:right w:w="120" w:type="dxa"/>
            </w:tcMar>
            <w:shd w:fill="F1F5F9"/>
          </w:tcPr>
          <w:p>
            <w:pPr>
              <w:jc w:val="right"/>
            </w:pPr>
            <w:r>
              <w:rPr>
                <w:rFonts w:ascii="Segoe UI" w:hAnsi="Segoe UI"/>
                <w:sz w:val="18"/>
              </w:rPr>
              <w:t>357.00</w:t>
            </w:r>
          </w:p>
        </w:tc>
        <w:tc>
          <w:tcPr>
            <w:tcW w:type="dxa" w:w="3250"/>
            <w:tcMar>
              <w:top w:w="80" w:type="dxa"/>
              <w:bottom w:w="80" w:type="dxa"/>
              <w:left w:w="120" w:type="dxa"/>
              <w:right w:w="120" w:type="dxa"/>
            </w:tcMar>
            <w:shd w:fill="F1F5F9"/>
          </w:tcPr>
          <w:p>
            <w:pPr>
              <w:jc w:val="right"/>
            </w:pPr>
            <w:r>
              <w:rPr>
                <w:rFonts w:ascii="Segoe UI" w:hAnsi="Segoe UI"/>
                <w:sz w:val="18"/>
              </w:rPr>
              <w:t>297.50</w:t>
            </w:r>
          </w:p>
        </w:tc>
      </w:tr>
      <w:tr>
        <w:tc>
          <w:tcPr>
            <w:tcW w:type="dxa" w:w="3250"/>
            <w:tcMar>
              <w:top w:w="80" w:type="dxa"/>
              <w:bottom w:w="80" w:type="dxa"/>
              <w:left w:w="120" w:type="dxa"/>
              <w:right w:w="120" w:type="dxa"/>
            </w:tcMar>
          </w:tcPr>
          <w:p>
            <w:r>
              <w:rPr>
                <w:rFonts w:ascii="Segoe UI" w:hAnsi="Segoe UI"/>
                <w:sz w:val="18"/>
              </w:rPr>
              <w:t xml:space="preserve">    Less: Closing Stock of Raw Materials</w:t>
            </w:r>
          </w:p>
        </w:tc>
        <w:tc>
          <w:tcPr>
            <w:tcW w:type="dxa" w:w="3250"/>
            <w:tcMar>
              <w:top w:w="80" w:type="dxa"/>
              <w:bottom w:w="80" w:type="dxa"/>
              <w:left w:w="120" w:type="dxa"/>
              <w:right w:w="120" w:type="dxa"/>
            </w:tcMar>
            <w:shd w:fill="F1F5F9"/>
          </w:tcPr>
          <w:p>
            <w:pPr>
              <w:jc w:val="right"/>
            </w:pPr>
            <w:r>
              <w:rPr>
                <w:rFonts w:ascii="Segoe UI" w:hAnsi="Segoe UI"/>
                <w:sz w:val="18"/>
              </w:rPr>
              <w:t>12.60</w:t>
            </w:r>
          </w:p>
        </w:tc>
        <w:tc>
          <w:tcPr>
            <w:tcW w:type="dxa" w:w="3250"/>
            <w:tcMar>
              <w:top w:w="80" w:type="dxa"/>
              <w:bottom w:w="80" w:type="dxa"/>
              <w:left w:w="120" w:type="dxa"/>
              <w:right w:w="120" w:type="dxa"/>
            </w:tcMar>
            <w:shd w:fill="F1F5F9"/>
          </w:tcPr>
          <w:p>
            <w:pPr>
              <w:jc w:val="right"/>
            </w:pPr>
            <w:r>
              <w:rPr>
                <w:rFonts w:ascii="Segoe UI" w:hAnsi="Segoe UI"/>
                <w:sz w:val="18"/>
              </w:rPr>
              <w:t>10.50</w:t>
            </w:r>
          </w:p>
        </w:tc>
      </w:tr>
      <w:tr>
        <w:tc>
          <w:tcPr>
            <w:tcW w:type="dxa" w:w="3250"/>
            <w:tcMar>
              <w:top w:w="80" w:type="dxa"/>
              <w:bottom w:w="80" w:type="dxa"/>
              <w:left w:w="120" w:type="dxa"/>
              <w:right w:w="120" w:type="dxa"/>
            </w:tcMar>
          </w:tcPr>
          <w:p>
            <w:r>
              <w:rPr>
                <w:rFonts w:ascii="Segoe UI" w:hAnsi="Segoe UI"/>
                <w:sz w:val="18"/>
              </w:rPr>
              <w:t xml:space="preserve">    Total Cost of Materials Consumed  (A)</w:t>
            </w:r>
          </w:p>
        </w:tc>
        <w:tc>
          <w:tcPr>
            <w:tcW w:type="dxa" w:w="3250"/>
            <w:tcMar>
              <w:top w:w="80" w:type="dxa"/>
              <w:bottom w:w="80" w:type="dxa"/>
              <w:left w:w="120" w:type="dxa"/>
              <w:right w:w="120" w:type="dxa"/>
            </w:tcMar>
            <w:shd w:fill="F1F5F9"/>
          </w:tcPr>
          <w:p>
            <w:pPr>
              <w:jc w:val="right"/>
            </w:pPr>
            <w:r>
              <w:rPr>
                <w:rFonts w:ascii="Segoe UI" w:hAnsi="Segoe UI"/>
                <w:sz w:val="18"/>
              </w:rPr>
              <w:t>420.00</w:t>
            </w:r>
          </w:p>
        </w:tc>
        <w:tc>
          <w:tcPr>
            <w:tcW w:type="dxa" w:w="3250"/>
            <w:tcMar>
              <w:top w:w="80" w:type="dxa"/>
              <w:bottom w:w="80" w:type="dxa"/>
              <w:left w:w="120" w:type="dxa"/>
              <w:right w:w="120" w:type="dxa"/>
            </w:tcMar>
            <w:shd w:fill="F1F5F9"/>
          </w:tcPr>
          <w:p>
            <w:pPr>
              <w:jc w:val="right"/>
            </w:pPr>
            <w:r>
              <w:rPr>
                <w:rFonts w:ascii="Segoe UI" w:hAnsi="Segoe UI"/>
                <w:sz w:val="18"/>
              </w:rPr>
              <w:t>350.00</w:t>
            </w:r>
          </w:p>
        </w:tc>
      </w:tr>
      <w:tr>
        <w:tc>
          <w:tcPr>
            <w:tcW w:type="dxa" w:w="3250"/>
            <w:tcMar>
              <w:top w:w="80" w:type="dxa"/>
              <w:bottom w:w="80" w:type="dxa"/>
              <w:left w:w="120" w:type="dxa"/>
              <w:right w:w="120" w:type="dxa"/>
            </w:tcMar>
          </w:tcPr>
          <w:p>
            <w:r>
              <w:rPr>
                <w:rFonts w:ascii="Segoe UI" w:hAnsi="Segoe UI"/>
                <w:sz w:val="18"/>
              </w:rPr>
              <w:t>(b) Purchases of Stock-in-Trade  (B)</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(c) Changes in Inventories:</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Opening Stock (WIP + Finished Goods)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Less: Closing Stock (WIP + Finished Goods)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Net Change in Inventories  (C)</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b/>
                <w:sz w:val="18"/>
              </w:rPr>
              <w:t>TOTAL MATERIAL COSTS  (A + B + C)</w:t>
            </w:r>
          </w:p>
        </w:tc>
        <w:tc>
          <w:tcPr>
            <w:tcW w:type="dxa" w:w="3250"/>
            <w:tcMar>
              <w:top w:w="80" w:type="dxa"/>
              <w:bottom w:w="80" w:type="dxa"/>
              <w:left w:w="120" w:type="dxa"/>
              <w:right w:w="120" w:type="dxa"/>
            </w:tcMar>
            <w:shd w:fill="F1F5F9"/>
          </w:tcPr>
          <w:p>
            <w:pPr>
              <w:jc w:val="right"/>
            </w:pPr>
            <w:r>
              <w:rPr>
                <w:rFonts w:ascii="Segoe UI" w:hAnsi="Segoe UI"/>
                <w:b/>
                <w:sz w:val="18"/>
              </w:rPr>
              <w:t>420.00</w:t>
            </w:r>
          </w:p>
        </w:tc>
        <w:tc>
          <w:tcPr>
            <w:tcW w:type="dxa" w:w="3250"/>
            <w:tcMar>
              <w:top w:w="80" w:type="dxa"/>
              <w:bottom w:w="80" w:type="dxa"/>
              <w:left w:w="120" w:type="dxa"/>
              <w:right w:w="120" w:type="dxa"/>
            </w:tcMar>
            <w:shd w:fill="F1F5F9"/>
          </w:tcPr>
          <w:p>
            <w:pPr>
              <w:jc w:val="right"/>
            </w:pPr>
            <w:r>
              <w:rPr>
                <w:rFonts w:ascii="Segoe UI" w:hAnsi="Segoe UI"/>
                <w:b/>
                <w:sz w:val="18"/>
              </w:rPr>
              <w:t>350.00</w:t>
            </w:r>
          </w:p>
        </w:tc>
      </w:tr>
    </w:tbl>
    <w:p/>
    <w:p>
      <w:pPr>
        <w:spacing w:after="160"/>
      </w:pPr>
      <w:r>
        <w:rPr>
          <w:rFonts w:ascii="Segoe UI" w:hAnsi="Segoe UI"/>
          <w:sz w:val="18"/>
        </w:rPr>
        <w:t>Raw material consumption is computed as: Opening Stock + Purchases - Closing Stock. Inventories are valued at cost (FIFO) or net realisable value, whichever is lower.</w:t>
      </w:r>
    </w:p>
    <w:p>
      <w:pPr>
        <w:keepNext/>
        <w:spacing w:before="200" w:after="40"/>
      </w:pPr>
      <w:r>
        <w:rPr>
          <w:rFonts w:ascii="Segoe UI" w:hAnsi="Segoe UI"/>
          <w:b/>
          <w:color w:val="1B365D"/>
          <w:sz w:val="21"/>
        </w:rPr>
        <w:t>NOTE 7.2: EMPLOYEE BENEFIT EXPENSES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Year ended FY 2024-25</w:t>
            </w:r>
          </w:p>
        </w:tc>
        <w:tc>
          <w:tcPr>
            <w:tcW w:type="dxa" w:w="3250"/>
            <w:shd w:fill="1B365D"/>
            <w:tcMar>
              <w:top w:w="120" w:type="dxa"/>
              <w:bottom w:w="120" w:type="dxa"/>
              <w:left w:w="150" w:type="dxa"/>
              <w:right w:w="150" w:type="dxa"/>
            </w:tcMar>
          </w:tcPr>
          <w:p>
            <w:pPr>
              <w:jc w:val="center"/>
            </w:pPr>
            <w:r>
              <w:t>Year ended FY 2023-24</w:t>
            </w:r>
          </w:p>
        </w:tc>
      </w:tr>
      <w:tr>
        <w:tc>
          <w:tcPr>
            <w:tcW w:type="dxa" w:w="3250"/>
            <w:tcMar>
              <w:top w:w="80" w:type="dxa"/>
              <w:bottom w:w="80" w:type="dxa"/>
              <w:left w:w="120" w:type="dxa"/>
              <w:right w:w="120" w:type="dxa"/>
            </w:tcMar>
          </w:tcPr>
          <w:p>
            <w:r>
              <w:rPr>
                <w:rFonts w:ascii="Segoe UI" w:hAnsi="Segoe UI"/>
                <w:sz w:val="18"/>
              </w:rPr>
              <w:t>Salaries, Wages, Bonus &amp; Allowances</w:t>
            </w:r>
          </w:p>
        </w:tc>
        <w:tc>
          <w:tcPr>
            <w:tcW w:type="dxa" w:w="3250"/>
            <w:tcMar>
              <w:top w:w="80" w:type="dxa"/>
              <w:bottom w:w="80" w:type="dxa"/>
              <w:left w:w="120" w:type="dxa"/>
              <w:right w:w="120" w:type="dxa"/>
            </w:tcMar>
            <w:shd w:fill="F1F5F9"/>
          </w:tcPr>
          <w:p>
            <w:pPr>
              <w:jc w:val="right"/>
            </w:pPr>
            <w:r>
              <w:rPr>
                <w:rFonts w:ascii="Segoe UI" w:hAnsi="Segoe UI"/>
                <w:sz w:val="18"/>
              </w:rPr>
              <w:t>114.80</w:t>
            </w:r>
          </w:p>
        </w:tc>
        <w:tc>
          <w:tcPr>
            <w:tcW w:type="dxa" w:w="3250"/>
            <w:tcMar>
              <w:top w:w="80" w:type="dxa"/>
              <w:bottom w:w="80" w:type="dxa"/>
              <w:left w:w="120" w:type="dxa"/>
              <w:right w:w="120" w:type="dxa"/>
            </w:tcMar>
            <w:shd w:fill="F1F5F9"/>
          </w:tcPr>
          <w:p>
            <w:pPr>
              <w:jc w:val="right"/>
            </w:pPr>
            <w:r>
              <w:rPr>
                <w:rFonts w:ascii="Segoe UI" w:hAnsi="Segoe UI"/>
                <w:sz w:val="18"/>
              </w:rPr>
              <w:t>98.40</w:t>
            </w:r>
          </w:p>
        </w:tc>
      </w:tr>
      <w:tr>
        <w:tc>
          <w:tcPr>
            <w:tcW w:type="dxa" w:w="3250"/>
            <w:tcMar>
              <w:top w:w="80" w:type="dxa"/>
              <w:bottom w:w="80" w:type="dxa"/>
              <w:left w:w="120" w:type="dxa"/>
              <w:right w:w="120" w:type="dxa"/>
            </w:tcMar>
          </w:tcPr>
          <w:p>
            <w:r>
              <w:rPr>
                <w:rFonts w:ascii="Segoe UI" w:hAnsi="Segoe UI"/>
                <w:sz w:val="18"/>
              </w:rPr>
              <w:t>Contribution to Provident Fund (PF)</w:t>
            </w:r>
          </w:p>
        </w:tc>
        <w:tc>
          <w:tcPr>
            <w:tcW w:type="dxa" w:w="3250"/>
            <w:tcMar>
              <w:top w:w="80" w:type="dxa"/>
              <w:bottom w:w="80" w:type="dxa"/>
              <w:left w:w="120" w:type="dxa"/>
              <w:right w:w="120" w:type="dxa"/>
            </w:tcMar>
            <w:shd w:fill="F1F5F9"/>
          </w:tcPr>
          <w:p>
            <w:pPr>
              <w:jc w:val="right"/>
            </w:pPr>
            <w:r>
              <w:rPr>
                <w:rFonts w:ascii="Segoe UI" w:hAnsi="Segoe UI"/>
                <w:sz w:val="18"/>
              </w:rPr>
              <w:t>9.80</w:t>
            </w:r>
          </w:p>
        </w:tc>
        <w:tc>
          <w:tcPr>
            <w:tcW w:type="dxa" w:w="3250"/>
            <w:tcMar>
              <w:top w:w="80" w:type="dxa"/>
              <w:bottom w:w="80" w:type="dxa"/>
              <w:left w:w="120" w:type="dxa"/>
              <w:right w:w="120" w:type="dxa"/>
            </w:tcMar>
            <w:shd w:fill="F1F5F9"/>
          </w:tcPr>
          <w:p>
            <w:pPr>
              <w:jc w:val="right"/>
            </w:pPr>
            <w:r>
              <w:rPr>
                <w:rFonts w:ascii="Segoe UI" w:hAnsi="Segoe UI"/>
                <w:sz w:val="18"/>
              </w:rPr>
              <w:t>8.40</w:t>
            </w:r>
          </w:p>
        </w:tc>
      </w:tr>
      <w:tr>
        <w:tc>
          <w:tcPr>
            <w:tcW w:type="dxa" w:w="3250"/>
            <w:tcMar>
              <w:top w:w="80" w:type="dxa"/>
              <w:bottom w:w="80" w:type="dxa"/>
              <w:left w:w="120" w:type="dxa"/>
              <w:right w:w="120" w:type="dxa"/>
            </w:tcMar>
          </w:tcPr>
          <w:p>
            <w:r>
              <w:rPr>
                <w:rFonts w:ascii="Segoe UI" w:hAnsi="Segoe UI"/>
                <w:sz w:val="18"/>
              </w:rPr>
              <w:t>Contribution to ESIC / Gratuity / Other Funds</w:t>
            </w:r>
          </w:p>
        </w:tc>
        <w:tc>
          <w:tcPr>
            <w:tcW w:type="dxa" w:w="3250"/>
            <w:tcMar>
              <w:top w:w="80" w:type="dxa"/>
              <w:bottom w:w="80" w:type="dxa"/>
              <w:left w:w="120" w:type="dxa"/>
              <w:right w:w="120" w:type="dxa"/>
            </w:tcMar>
            <w:shd w:fill="F1F5F9"/>
          </w:tcPr>
          <w:p>
            <w:pPr>
              <w:jc w:val="right"/>
            </w:pPr>
            <w:r>
              <w:rPr>
                <w:rFonts w:ascii="Segoe UI" w:hAnsi="Segoe UI"/>
                <w:sz w:val="18"/>
              </w:rPr>
              <w:t>8.40</w:t>
            </w:r>
          </w:p>
        </w:tc>
        <w:tc>
          <w:tcPr>
            <w:tcW w:type="dxa" w:w="3250"/>
            <w:tcMar>
              <w:top w:w="80" w:type="dxa"/>
              <w:bottom w:w="80" w:type="dxa"/>
              <w:left w:w="120" w:type="dxa"/>
              <w:right w:w="120" w:type="dxa"/>
            </w:tcMar>
            <w:shd w:fill="F1F5F9"/>
          </w:tcPr>
          <w:p>
            <w:pPr>
              <w:jc w:val="right"/>
            </w:pPr>
            <w:r>
              <w:rPr>
                <w:rFonts w:ascii="Segoe UI" w:hAnsi="Segoe UI"/>
                <w:sz w:val="18"/>
              </w:rPr>
              <w:t>7.20</w:t>
            </w:r>
          </w:p>
        </w:tc>
      </w:tr>
      <w:tr>
        <w:tc>
          <w:tcPr>
            <w:tcW w:type="dxa" w:w="3250"/>
            <w:tcMar>
              <w:top w:w="80" w:type="dxa"/>
              <w:bottom w:w="80" w:type="dxa"/>
              <w:left w:w="120" w:type="dxa"/>
              <w:right w:w="120" w:type="dxa"/>
            </w:tcMar>
          </w:tcPr>
          <w:p>
            <w:r>
              <w:rPr>
                <w:rFonts w:ascii="Segoe UI" w:hAnsi="Segoe UI"/>
                <w:sz w:val="18"/>
              </w:rPr>
              <w:t>Leave Encashment (Short-term)</w:t>
            </w:r>
          </w:p>
        </w:tc>
        <w:tc>
          <w:tcPr>
            <w:tcW w:type="dxa" w:w="3250"/>
            <w:tcMar>
              <w:top w:w="80" w:type="dxa"/>
              <w:bottom w:w="80" w:type="dxa"/>
              <w:left w:w="120" w:type="dxa"/>
              <w:right w:w="120" w:type="dxa"/>
            </w:tcMar>
            <w:shd w:fill="F1F5F9"/>
          </w:tcPr>
          <w:p>
            <w:pPr>
              <w:jc w:val="right"/>
            </w:pPr>
            <w:r>
              <w:rPr>
                <w:rFonts w:ascii="Segoe UI" w:hAnsi="Segoe UI"/>
                <w:sz w:val="18"/>
              </w:rPr>
              <w:t>4.20</w:t>
            </w:r>
          </w:p>
        </w:tc>
        <w:tc>
          <w:tcPr>
            <w:tcW w:type="dxa" w:w="3250"/>
            <w:tcMar>
              <w:top w:w="80" w:type="dxa"/>
              <w:bottom w:w="80" w:type="dxa"/>
              <w:left w:w="120" w:type="dxa"/>
              <w:right w:w="120" w:type="dxa"/>
            </w:tcMar>
            <w:shd w:fill="F1F5F9"/>
          </w:tcPr>
          <w:p>
            <w:pPr>
              <w:jc w:val="right"/>
            </w:pPr>
            <w:r>
              <w:rPr>
                <w:rFonts w:ascii="Segoe UI" w:hAnsi="Segoe UI"/>
                <w:sz w:val="18"/>
              </w:rPr>
              <w:t>3.60</w:t>
            </w:r>
          </w:p>
        </w:tc>
      </w:tr>
      <w:tr>
        <w:tc>
          <w:tcPr>
            <w:tcW w:type="dxa" w:w="3250"/>
            <w:tcMar>
              <w:top w:w="80" w:type="dxa"/>
              <w:bottom w:w="80" w:type="dxa"/>
              <w:left w:w="120" w:type="dxa"/>
              <w:right w:w="120" w:type="dxa"/>
            </w:tcMar>
          </w:tcPr>
          <w:p>
            <w:r>
              <w:rPr>
                <w:rFonts w:ascii="Segoe UI" w:hAnsi="Segoe UI"/>
                <w:sz w:val="18"/>
              </w:rPr>
              <w:t>Staff Welfare &amp; Training Expenses</w:t>
            </w:r>
          </w:p>
        </w:tc>
        <w:tc>
          <w:tcPr>
            <w:tcW w:type="dxa" w:w="3250"/>
            <w:tcMar>
              <w:top w:w="80" w:type="dxa"/>
              <w:bottom w:w="80" w:type="dxa"/>
              <w:left w:w="120" w:type="dxa"/>
              <w:right w:w="120" w:type="dxa"/>
            </w:tcMar>
            <w:shd w:fill="F1F5F9"/>
          </w:tcPr>
          <w:p>
            <w:pPr>
              <w:jc w:val="right"/>
            </w:pPr>
            <w:r>
              <w:rPr>
                <w:rFonts w:ascii="Segoe UI" w:hAnsi="Segoe UI"/>
                <w:sz w:val="18"/>
              </w:rPr>
              <w:t>2.80</w:t>
            </w:r>
          </w:p>
        </w:tc>
        <w:tc>
          <w:tcPr>
            <w:tcW w:type="dxa" w:w="3250"/>
            <w:tcMar>
              <w:top w:w="80" w:type="dxa"/>
              <w:bottom w:w="80" w:type="dxa"/>
              <w:left w:w="120" w:type="dxa"/>
              <w:right w:w="120" w:type="dxa"/>
            </w:tcMar>
            <w:shd w:fill="F1F5F9"/>
          </w:tcPr>
          <w:p>
            <w:pPr>
              <w:jc w:val="right"/>
            </w:pPr>
            <w:r>
              <w:rPr>
                <w:rFonts w:ascii="Segoe UI" w:hAnsi="Segoe UI"/>
                <w:sz w:val="18"/>
              </w:rPr>
              <w:t>2.40</w:t>
            </w:r>
          </w:p>
        </w:tc>
      </w:tr>
      <w:tr>
        <w:tc>
          <w:tcPr>
            <w:tcW w:type="dxa" w:w="3250"/>
            <w:tcMar>
              <w:top w:w="80" w:type="dxa"/>
              <w:bottom w:w="80" w:type="dxa"/>
              <w:left w:w="120" w:type="dxa"/>
              <w:right w:w="120" w:type="dxa"/>
            </w:tcMar>
          </w:tcPr>
          <w:p>
            <w:r>
              <w:rPr>
                <w:rFonts w:ascii="Segoe UI" w:hAnsi="Segoe UI"/>
                <w:b/>
                <w:sz w:val="18"/>
              </w:rPr>
              <w:t>TOTAL EMPLOYEE BENEFIT EXPENSES</w:t>
            </w:r>
          </w:p>
        </w:tc>
        <w:tc>
          <w:tcPr>
            <w:tcW w:type="dxa" w:w="3250"/>
            <w:tcMar>
              <w:top w:w="80" w:type="dxa"/>
              <w:bottom w:w="80" w:type="dxa"/>
              <w:left w:w="120" w:type="dxa"/>
              <w:right w:w="120" w:type="dxa"/>
            </w:tcMar>
            <w:shd w:fill="F1F5F9"/>
          </w:tcPr>
          <w:p>
            <w:pPr>
              <w:jc w:val="right"/>
            </w:pPr>
            <w:r>
              <w:rPr>
                <w:rFonts w:ascii="Segoe UI" w:hAnsi="Segoe UI"/>
                <w:b/>
                <w:sz w:val="18"/>
              </w:rPr>
              <w:t>140.00</w:t>
            </w:r>
          </w:p>
        </w:tc>
        <w:tc>
          <w:tcPr>
            <w:tcW w:type="dxa" w:w="3250"/>
            <w:tcMar>
              <w:top w:w="80" w:type="dxa"/>
              <w:bottom w:w="80" w:type="dxa"/>
              <w:left w:w="120" w:type="dxa"/>
              <w:right w:w="120" w:type="dxa"/>
            </w:tcMar>
            <w:shd w:fill="F1F5F9"/>
          </w:tcPr>
          <w:p>
            <w:pPr>
              <w:jc w:val="right"/>
            </w:pPr>
            <w:r>
              <w:rPr>
                <w:rFonts w:ascii="Segoe UI" w:hAnsi="Segoe UI"/>
                <w:b/>
                <w:sz w:val="18"/>
              </w:rPr>
              <w:t>120.00</w:t>
            </w:r>
          </w:p>
        </w:tc>
      </w:tr>
    </w:tbl>
    <w:p/>
    <w:p>
      <w:pPr>
        <w:spacing w:after="160"/>
      </w:pPr>
      <w:r>
        <w:rPr>
          <w:rFonts w:ascii="Segoe UI" w:hAnsi="Segoe UI"/>
          <w:sz w:val="18"/>
        </w:rPr>
        <w:t>Provident Fund: The Company contributes to the Employees' Provident Fund Organisation (EPFO) at the rate of 12% of basic wages.</w:t>
        <w:br/>
        <w:t>Gratuity: Defined benefit obligation measured using the Projected Unit Credit Method (AS 15).</w:t>
        <w:br/>
        <w:t>Key Management Personnel remuneration is disclosed separately under Related Party Disclosures (Note 8.1).</w:t>
      </w:r>
    </w:p>
    <w:p>
      <w:pPr>
        <w:keepNext/>
        <w:spacing w:before="200" w:after="40"/>
      </w:pPr>
      <w:r>
        <w:rPr>
          <w:rFonts w:ascii="Segoe UI" w:hAnsi="Segoe UI"/>
          <w:b/>
          <w:color w:val="1B365D"/>
          <w:sz w:val="21"/>
        </w:rPr>
        <w:t>NOTE 7.3: FINANCE COSTS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Year ended FY 2024-25</w:t>
            </w:r>
          </w:p>
        </w:tc>
        <w:tc>
          <w:tcPr>
            <w:tcW w:type="dxa" w:w="3250"/>
            <w:shd w:fill="1B365D"/>
            <w:tcMar>
              <w:top w:w="120" w:type="dxa"/>
              <w:bottom w:w="120" w:type="dxa"/>
              <w:left w:w="150" w:type="dxa"/>
              <w:right w:w="150" w:type="dxa"/>
            </w:tcMar>
          </w:tcPr>
          <w:p>
            <w:pPr>
              <w:jc w:val="center"/>
            </w:pPr>
            <w:r>
              <w:t>Year ended FY 2023-24</w:t>
            </w:r>
          </w:p>
        </w:tc>
      </w:tr>
      <w:tr>
        <w:tc>
          <w:tcPr>
            <w:tcW w:type="dxa" w:w="3250"/>
            <w:tcMar>
              <w:top w:w="80" w:type="dxa"/>
              <w:bottom w:w="80" w:type="dxa"/>
              <w:left w:w="120" w:type="dxa"/>
              <w:right w:w="120" w:type="dxa"/>
            </w:tcMar>
          </w:tcPr>
          <w:p>
            <w:r>
              <w:rPr>
                <w:rFonts w:ascii="Segoe UI" w:hAnsi="Segoe UI"/>
                <w:sz w:val="18"/>
              </w:rPr>
              <w:t>Interest on Term Loans</w:t>
            </w:r>
          </w:p>
        </w:tc>
        <w:tc>
          <w:tcPr>
            <w:tcW w:type="dxa" w:w="3250"/>
            <w:tcMar>
              <w:top w:w="80" w:type="dxa"/>
              <w:bottom w:w="80" w:type="dxa"/>
              <w:left w:w="120" w:type="dxa"/>
              <w:right w:w="120" w:type="dxa"/>
            </w:tcMar>
            <w:shd w:fill="F1F5F9"/>
          </w:tcPr>
          <w:p>
            <w:pPr>
              <w:jc w:val="right"/>
            </w:pPr>
            <w:r>
              <w:rPr>
                <w:rFonts w:ascii="Segoe UI" w:hAnsi="Segoe UI"/>
                <w:sz w:val="18"/>
              </w:rPr>
              <w:t>20.80</w:t>
            </w:r>
          </w:p>
        </w:tc>
        <w:tc>
          <w:tcPr>
            <w:tcW w:type="dxa" w:w="3250"/>
            <w:tcMar>
              <w:top w:w="80" w:type="dxa"/>
              <w:bottom w:w="80" w:type="dxa"/>
              <w:left w:w="120" w:type="dxa"/>
              <w:right w:w="120" w:type="dxa"/>
            </w:tcMar>
            <w:shd w:fill="F1F5F9"/>
          </w:tcPr>
          <w:p>
            <w:pPr>
              <w:jc w:val="right"/>
            </w:pPr>
            <w:r>
              <w:rPr>
                <w:rFonts w:ascii="Segoe UI" w:hAnsi="Segoe UI"/>
                <w:sz w:val="18"/>
              </w:rPr>
              <w:t>24.70</w:t>
            </w:r>
          </w:p>
        </w:tc>
      </w:tr>
      <w:tr>
        <w:tc>
          <w:tcPr>
            <w:tcW w:type="dxa" w:w="3250"/>
            <w:tcMar>
              <w:top w:w="80" w:type="dxa"/>
              <w:bottom w:w="80" w:type="dxa"/>
              <w:left w:w="120" w:type="dxa"/>
              <w:right w:w="120" w:type="dxa"/>
            </w:tcMar>
          </w:tcPr>
          <w:p>
            <w:r>
              <w:rPr>
                <w:rFonts w:ascii="Segoe UI" w:hAnsi="Segoe UI"/>
                <w:sz w:val="18"/>
              </w:rPr>
              <w:t>Interest on Working Capital Facilities</w:t>
            </w:r>
          </w:p>
        </w:tc>
        <w:tc>
          <w:tcPr>
            <w:tcW w:type="dxa" w:w="3250"/>
            <w:tcMar>
              <w:top w:w="80" w:type="dxa"/>
              <w:bottom w:w="80" w:type="dxa"/>
              <w:left w:w="120" w:type="dxa"/>
              <w:right w:w="120" w:type="dxa"/>
            </w:tcMar>
            <w:shd w:fill="F1F5F9"/>
          </w:tcPr>
          <w:p>
            <w:pPr>
              <w:jc w:val="right"/>
            </w:pPr>
            <w:r>
              <w:rPr>
                <w:rFonts w:ascii="Segoe UI" w:hAnsi="Segoe UI"/>
                <w:sz w:val="18"/>
              </w:rPr>
              <w:t>8.00</w:t>
            </w:r>
          </w:p>
        </w:tc>
        <w:tc>
          <w:tcPr>
            <w:tcW w:type="dxa" w:w="3250"/>
            <w:tcMar>
              <w:top w:w="80" w:type="dxa"/>
              <w:bottom w:w="80" w:type="dxa"/>
              <w:left w:w="120" w:type="dxa"/>
              <w:right w:w="120" w:type="dxa"/>
            </w:tcMar>
            <w:shd w:fill="F1F5F9"/>
          </w:tcPr>
          <w:p>
            <w:pPr>
              <w:jc w:val="right"/>
            </w:pPr>
            <w:r>
              <w:rPr>
                <w:rFonts w:ascii="Segoe UI" w:hAnsi="Segoe UI"/>
                <w:sz w:val="18"/>
              </w:rPr>
              <w:t>9.50</w:t>
            </w:r>
          </w:p>
        </w:tc>
      </w:tr>
      <w:tr>
        <w:tc>
          <w:tcPr>
            <w:tcW w:type="dxa" w:w="3250"/>
            <w:tcMar>
              <w:top w:w="80" w:type="dxa"/>
              <w:bottom w:w="80" w:type="dxa"/>
              <w:left w:w="120" w:type="dxa"/>
              <w:right w:w="120" w:type="dxa"/>
            </w:tcMar>
          </w:tcPr>
          <w:p>
            <w:r>
              <w:rPr>
                <w:rFonts w:ascii="Segoe UI" w:hAnsi="Segoe UI"/>
                <w:sz w:val="18"/>
              </w:rPr>
              <w:t>Bank Charges, Processing Fees &amp; Commission</w:t>
            </w:r>
          </w:p>
        </w:tc>
        <w:tc>
          <w:tcPr>
            <w:tcW w:type="dxa" w:w="3250"/>
            <w:tcMar>
              <w:top w:w="80" w:type="dxa"/>
              <w:bottom w:w="80" w:type="dxa"/>
              <w:left w:w="120" w:type="dxa"/>
              <w:right w:w="120" w:type="dxa"/>
            </w:tcMar>
            <w:shd w:fill="F1F5F9"/>
          </w:tcPr>
          <w:p>
            <w:pPr>
              <w:jc w:val="right"/>
            </w:pPr>
            <w:r>
              <w:rPr>
                <w:rFonts w:ascii="Segoe UI" w:hAnsi="Segoe UI"/>
                <w:sz w:val="18"/>
              </w:rPr>
              <w:t>2.56</w:t>
            </w:r>
          </w:p>
        </w:tc>
        <w:tc>
          <w:tcPr>
            <w:tcW w:type="dxa" w:w="3250"/>
            <w:tcMar>
              <w:top w:w="80" w:type="dxa"/>
              <w:bottom w:w="80" w:type="dxa"/>
              <w:left w:w="120" w:type="dxa"/>
              <w:right w:w="120" w:type="dxa"/>
            </w:tcMar>
            <w:shd w:fill="F1F5F9"/>
          </w:tcPr>
          <w:p>
            <w:pPr>
              <w:jc w:val="right"/>
            </w:pPr>
            <w:r>
              <w:rPr>
                <w:rFonts w:ascii="Segoe UI" w:hAnsi="Segoe UI"/>
                <w:sz w:val="18"/>
              </w:rPr>
              <w:t>3.04</w:t>
            </w:r>
          </w:p>
        </w:tc>
      </w:tr>
      <w:tr>
        <w:tc>
          <w:tcPr>
            <w:tcW w:type="dxa" w:w="3250"/>
            <w:tcMar>
              <w:top w:w="80" w:type="dxa"/>
              <w:bottom w:w="80" w:type="dxa"/>
              <w:left w:w="120" w:type="dxa"/>
              <w:right w:w="120" w:type="dxa"/>
            </w:tcMar>
          </w:tcPr>
          <w:p>
            <w:r>
              <w:rPr>
                <w:rFonts w:ascii="Segoe UI" w:hAnsi="Segoe UI"/>
                <w:sz w:val="18"/>
              </w:rPr>
              <w:t>Other Borrowing Costs</w:t>
            </w:r>
          </w:p>
        </w:tc>
        <w:tc>
          <w:tcPr>
            <w:tcW w:type="dxa" w:w="3250"/>
            <w:tcMar>
              <w:top w:w="80" w:type="dxa"/>
              <w:bottom w:w="80" w:type="dxa"/>
              <w:left w:w="120" w:type="dxa"/>
              <w:right w:w="120" w:type="dxa"/>
            </w:tcMar>
            <w:shd w:fill="F1F5F9"/>
          </w:tcPr>
          <w:p>
            <w:pPr>
              <w:jc w:val="right"/>
            </w:pPr>
            <w:r>
              <w:rPr>
                <w:rFonts w:ascii="Segoe UI" w:hAnsi="Segoe UI"/>
                <w:sz w:val="18"/>
              </w:rPr>
              <w:t>0.64</w:t>
            </w:r>
          </w:p>
        </w:tc>
        <w:tc>
          <w:tcPr>
            <w:tcW w:type="dxa" w:w="3250"/>
            <w:tcMar>
              <w:top w:w="80" w:type="dxa"/>
              <w:bottom w:w="80" w:type="dxa"/>
              <w:left w:w="120" w:type="dxa"/>
              <w:right w:w="120" w:type="dxa"/>
            </w:tcMar>
            <w:shd w:fill="F1F5F9"/>
          </w:tcPr>
          <w:p>
            <w:pPr>
              <w:jc w:val="right"/>
            </w:pPr>
            <w:r>
              <w:rPr>
                <w:rFonts w:ascii="Segoe UI" w:hAnsi="Segoe UI"/>
                <w:sz w:val="18"/>
              </w:rPr>
              <w:t>0.76</w:t>
            </w:r>
          </w:p>
        </w:tc>
      </w:tr>
      <w:tr>
        <w:tc>
          <w:tcPr>
            <w:tcW w:type="dxa" w:w="3250"/>
            <w:tcMar>
              <w:top w:w="80" w:type="dxa"/>
              <w:bottom w:w="80" w:type="dxa"/>
              <w:left w:w="120" w:type="dxa"/>
              <w:right w:w="120" w:type="dxa"/>
            </w:tcMar>
          </w:tcPr>
          <w:p>
            <w:r>
              <w:rPr>
                <w:rFonts w:ascii="Segoe UI" w:hAnsi="Segoe UI"/>
                <w:b/>
                <w:sz w:val="18"/>
              </w:rPr>
              <w:t>TOTAL FINANCE COSTS</w:t>
            </w:r>
          </w:p>
        </w:tc>
        <w:tc>
          <w:tcPr>
            <w:tcW w:type="dxa" w:w="3250"/>
            <w:tcMar>
              <w:top w:w="80" w:type="dxa"/>
              <w:bottom w:w="80" w:type="dxa"/>
              <w:left w:w="120" w:type="dxa"/>
              <w:right w:w="120" w:type="dxa"/>
            </w:tcMar>
            <w:shd w:fill="F1F5F9"/>
          </w:tcPr>
          <w:p>
            <w:pPr>
              <w:jc w:val="right"/>
            </w:pPr>
            <w:r>
              <w:rPr>
                <w:rFonts w:ascii="Segoe UI" w:hAnsi="Segoe UI"/>
                <w:b/>
                <w:sz w:val="18"/>
              </w:rPr>
              <w:t>32.00</w:t>
            </w:r>
          </w:p>
        </w:tc>
        <w:tc>
          <w:tcPr>
            <w:tcW w:type="dxa" w:w="3250"/>
            <w:tcMar>
              <w:top w:w="80" w:type="dxa"/>
              <w:bottom w:w="80" w:type="dxa"/>
              <w:left w:w="120" w:type="dxa"/>
              <w:right w:w="120" w:type="dxa"/>
            </w:tcMar>
            <w:shd w:fill="F1F5F9"/>
          </w:tcPr>
          <w:p>
            <w:pPr>
              <w:jc w:val="right"/>
            </w:pPr>
            <w:r>
              <w:rPr>
                <w:rFonts w:ascii="Segoe UI" w:hAnsi="Segoe UI"/>
                <w:b/>
                <w:sz w:val="18"/>
              </w:rPr>
              <w:t>38.00</w:t>
            </w:r>
          </w:p>
        </w:tc>
      </w:tr>
    </w:tbl>
    <w:p/>
    <w:p>
      <w:pPr>
        <w:spacing w:after="160"/>
      </w:pPr>
      <w:r>
        <w:rPr>
          <w:rFonts w:ascii="Segoe UI" w:hAnsi="Segoe UI"/>
          <w:sz w:val="18"/>
        </w:rPr>
        <w:t>Finance costs are recognised in the Statement of Profit and Loss for the period in which they are incurred as per AS 16. No borrowing costs have been capitalised during the year.</w:t>
      </w:r>
    </w:p>
    <w:p>
      <w:pPr>
        <w:keepNext/>
        <w:spacing w:before="200" w:after="40"/>
      </w:pPr>
      <w:r>
        <w:rPr>
          <w:rFonts w:ascii="Segoe UI" w:hAnsi="Segoe UI"/>
          <w:b/>
          <w:color w:val="1B365D"/>
          <w:sz w:val="21"/>
        </w:rPr>
        <w:t>NOTE 7.4: DEPRECIATION AND AMORTISATION EXPENSE</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Year ended FY 2024-25</w:t>
            </w:r>
          </w:p>
        </w:tc>
        <w:tc>
          <w:tcPr>
            <w:tcW w:type="dxa" w:w="3250"/>
            <w:shd w:fill="1B365D"/>
            <w:tcMar>
              <w:top w:w="120" w:type="dxa"/>
              <w:bottom w:w="120" w:type="dxa"/>
              <w:left w:w="150" w:type="dxa"/>
              <w:right w:w="150" w:type="dxa"/>
            </w:tcMar>
          </w:tcPr>
          <w:p>
            <w:pPr>
              <w:jc w:val="center"/>
            </w:pPr>
            <w:r>
              <w:t>Year ended FY 2023-24</w:t>
            </w:r>
          </w:p>
        </w:tc>
      </w:tr>
      <w:tr>
        <w:tc>
          <w:tcPr>
            <w:tcW w:type="dxa" w:w="3250"/>
            <w:tcMar>
              <w:top w:w="80" w:type="dxa"/>
              <w:bottom w:w="80" w:type="dxa"/>
              <w:left w:w="120" w:type="dxa"/>
              <w:right w:w="120" w:type="dxa"/>
            </w:tcMar>
          </w:tcPr>
          <w:p>
            <w:r>
              <w:rPr>
                <w:rFonts w:ascii="Segoe UI" w:hAnsi="Segoe UI"/>
                <w:sz w:val="18"/>
              </w:rPr>
              <w:t>Depreciation on Property, Plant &amp; Equipment (SLM)</w:t>
            </w:r>
          </w:p>
        </w:tc>
        <w:tc>
          <w:tcPr>
            <w:tcW w:type="dxa" w:w="3250"/>
            <w:tcMar>
              <w:top w:w="80" w:type="dxa"/>
              <w:bottom w:w="80" w:type="dxa"/>
              <w:left w:w="120" w:type="dxa"/>
              <w:right w:w="120" w:type="dxa"/>
            </w:tcMar>
            <w:shd w:fill="F1F5F9"/>
          </w:tcPr>
          <w:p>
            <w:pPr>
              <w:jc w:val="right"/>
            </w:pPr>
            <w:r>
              <w:rPr>
                <w:rFonts w:ascii="Segoe UI" w:hAnsi="Segoe UI"/>
                <w:sz w:val="18"/>
              </w:rPr>
              <w:t>27.16</w:t>
            </w:r>
          </w:p>
        </w:tc>
        <w:tc>
          <w:tcPr>
            <w:tcW w:type="dxa" w:w="3250"/>
            <w:tcMar>
              <w:top w:w="80" w:type="dxa"/>
              <w:bottom w:w="80" w:type="dxa"/>
              <w:left w:w="120" w:type="dxa"/>
              <w:right w:w="120" w:type="dxa"/>
            </w:tcMar>
            <w:shd w:fill="F1F5F9"/>
          </w:tcPr>
          <w:p>
            <w:pPr>
              <w:jc w:val="right"/>
            </w:pPr>
            <w:r>
              <w:rPr>
                <w:rFonts w:ascii="Segoe UI" w:hAnsi="Segoe UI"/>
                <w:sz w:val="18"/>
              </w:rPr>
              <w:t>24.25</w:t>
            </w:r>
          </w:p>
        </w:tc>
      </w:tr>
      <w:tr>
        <w:tc>
          <w:tcPr>
            <w:tcW w:type="dxa" w:w="3250"/>
            <w:tcMar>
              <w:top w:w="80" w:type="dxa"/>
              <w:bottom w:w="80" w:type="dxa"/>
              <w:left w:w="120" w:type="dxa"/>
              <w:right w:w="120" w:type="dxa"/>
            </w:tcMar>
          </w:tcPr>
          <w:p>
            <w:r>
              <w:rPr>
                <w:rFonts w:ascii="Segoe UI" w:hAnsi="Segoe UI"/>
                <w:sz w:val="18"/>
              </w:rPr>
              <w:t>Amortisation of Intangible Assets</w:t>
            </w:r>
          </w:p>
        </w:tc>
        <w:tc>
          <w:tcPr>
            <w:tcW w:type="dxa" w:w="3250"/>
            <w:tcMar>
              <w:top w:w="80" w:type="dxa"/>
              <w:bottom w:w="80" w:type="dxa"/>
              <w:left w:w="120" w:type="dxa"/>
              <w:right w:w="120" w:type="dxa"/>
            </w:tcMar>
            <w:shd w:fill="F1F5F9"/>
          </w:tcPr>
          <w:p>
            <w:pPr>
              <w:jc w:val="right"/>
            </w:pPr>
            <w:r>
              <w:rPr>
                <w:rFonts w:ascii="Segoe UI" w:hAnsi="Segoe UI"/>
                <w:sz w:val="18"/>
              </w:rPr>
              <w:t>0.56</w:t>
            </w:r>
          </w:p>
        </w:tc>
        <w:tc>
          <w:tcPr>
            <w:tcW w:type="dxa" w:w="3250"/>
            <w:tcMar>
              <w:top w:w="80" w:type="dxa"/>
              <w:bottom w:w="80" w:type="dxa"/>
              <w:left w:w="120" w:type="dxa"/>
              <w:right w:w="120" w:type="dxa"/>
            </w:tcMar>
            <w:shd w:fill="F1F5F9"/>
          </w:tcPr>
          <w:p>
            <w:pPr>
              <w:jc w:val="right"/>
            </w:pPr>
            <w:r>
              <w:rPr>
                <w:rFonts w:ascii="Segoe UI" w:hAnsi="Segoe UI"/>
                <w:sz w:val="18"/>
              </w:rPr>
              <w:t>0.50</w:t>
            </w:r>
          </w:p>
        </w:tc>
      </w:tr>
      <w:tr>
        <w:tc>
          <w:tcPr>
            <w:tcW w:type="dxa" w:w="3250"/>
            <w:tcMar>
              <w:top w:w="80" w:type="dxa"/>
              <w:bottom w:w="80" w:type="dxa"/>
              <w:left w:w="120" w:type="dxa"/>
              <w:right w:w="120" w:type="dxa"/>
            </w:tcMar>
          </w:tcPr>
          <w:p>
            <w:r>
              <w:rPr>
                <w:rFonts w:ascii="Segoe UI" w:hAnsi="Segoe UI"/>
                <w:sz w:val="18"/>
              </w:rPr>
              <w:t>Amortisation of Preliminary / Pre-operative Expenses</w:t>
            </w:r>
          </w:p>
        </w:tc>
        <w:tc>
          <w:tcPr>
            <w:tcW w:type="dxa" w:w="3250"/>
            <w:tcMar>
              <w:top w:w="80" w:type="dxa"/>
              <w:bottom w:w="80" w:type="dxa"/>
              <w:left w:w="120" w:type="dxa"/>
              <w:right w:w="120" w:type="dxa"/>
            </w:tcMar>
            <w:shd w:fill="F1F5F9"/>
          </w:tcPr>
          <w:p>
            <w:pPr>
              <w:jc w:val="right"/>
            </w:pPr>
            <w:r>
              <w:rPr>
                <w:rFonts w:ascii="Segoe UI" w:hAnsi="Segoe UI"/>
                <w:sz w:val="18"/>
              </w:rPr>
              <w:t>0.28</w:t>
            </w:r>
          </w:p>
        </w:tc>
        <w:tc>
          <w:tcPr>
            <w:tcW w:type="dxa" w:w="3250"/>
            <w:tcMar>
              <w:top w:w="80" w:type="dxa"/>
              <w:bottom w:w="80" w:type="dxa"/>
              <w:left w:w="120" w:type="dxa"/>
              <w:right w:w="120" w:type="dxa"/>
            </w:tcMar>
            <w:shd w:fill="F1F5F9"/>
          </w:tcPr>
          <w:p>
            <w:pPr>
              <w:jc w:val="right"/>
            </w:pPr>
            <w:r>
              <w:rPr>
                <w:rFonts w:ascii="Segoe UI" w:hAnsi="Segoe UI"/>
                <w:sz w:val="18"/>
              </w:rPr>
              <w:t>0.25</w:t>
            </w:r>
          </w:p>
        </w:tc>
      </w:tr>
      <w:tr>
        <w:tc>
          <w:tcPr>
            <w:tcW w:type="dxa" w:w="3250"/>
            <w:tcMar>
              <w:top w:w="80" w:type="dxa"/>
              <w:bottom w:w="80" w:type="dxa"/>
              <w:left w:w="120" w:type="dxa"/>
              <w:right w:w="120" w:type="dxa"/>
            </w:tcMar>
          </w:tcPr>
          <w:p>
            <w:r>
              <w:rPr>
                <w:rFonts w:ascii="Segoe UI" w:hAnsi="Segoe UI"/>
                <w:b/>
                <w:sz w:val="18"/>
              </w:rPr>
              <w:t>TOTAL DEPRECIATION AND AMORTISATION</w:t>
            </w:r>
          </w:p>
        </w:tc>
        <w:tc>
          <w:tcPr>
            <w:tcW w:type="dxa" w:w="3250"/>
            <w:tcMar>
              <w:top w:w="80" w:type="dxa"/>
              <w:bottom w:w="80" w:type="dxa"/>
              <w:left w:w="120" w:type="dxa"/>
              <w:right w:w="120" w:type="dxa"/>
            </w:tcMar>
            <w:shd w:fill="F1F5F9"/>
          </w:tcPr>
          <w:p>
            <w:pPr>
              <w:jc w:val="right"/>
            </w:pPr>
            <w:r>
              <w:rPr>
                <w:rFonts w:ascii="Segoe UI" w:hAnsi="Segoe UI"/>
                <w:b/>
                <w:sz w:val="18"/>
              </w:rPr>
              <w:t>28.00</w:t>
            </w:r>
          </w:p>
        </w:tc>
        <w:tc>
          <w:tcPr>
            <w:tcW w:type="dxa" w:w="3250"/>
            <w:tcMar>
              <w:top w:w="80" w:type="dxa"/>
              <w:bottom w:w="80" w:type="dxa"/>
              <w:left w:w="120" w:type="dxa"/>
              <w:right w:w="120" w:type="dxa"/>
            </w:tcMar>
            <w:shd w:fill="F1F5F9"/>
          </w:tcPr>
          <w:p>
            <w:pPr>
              <w:jc w:val="right"/>
            </w:pPr>
            <w:r>
              <w:rPr>
                <w:rFonts w:ascii="Segoe UI" w:hAnsi="Segoe UI"/>
                <w:b/>
                <w:sz w:val="18"/>
              </w:rPr>
              <w:t>25.00</w:t>
            </w:r>
          </w:p>
        </w:tc>
      </w:tr>
    </w:tbl>
    <w:p/>
    <w:p>
      <w:pPr>
        <w:spacing w:after="160"/>
      </w:pPr>
      <w:r>
        <w:rPr>
          <w:rFonts w:ascii="Segoe UI" w:hAnsi="Segoe UI"/>
          <w:sz w:val="18"/>
        </w:rPr>
        <w:t>Depreciation on PPE is calculated on Straight Line Method (SLM) based on useful lives specified in Schedule II of the Companies Act, 2013.</w:t>
        <w:br/>
        <w:t>For assets whose actual useful life differs from Schedule II, management estimate is used after technical assessment.</w:t>
        <w:br/>
        <w:t>Refer to Note 4.1 for asset-class-wise depreciation charged during the year.</w:t>
      </w:r>
    </w:p>
    <w:p>
      <w:pPr>
        <w:keepNext/>
        <w:spacing w:before="200" w:after="40"/>
      </w:pPr>
      <w:r>
        <w:rPr>
          <w:rFonts w:ascii="Segoe UI" w:hAnsi="Segoe UI"/>
          <w:b/>
          <w:color w:val="1B365D"/>
          <w:sz w:val="21"/>
        </w:rPr>
        <w:t>NOTE 7.5: OTHER EXPENSES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Year ended FY 2024-25</w:t>
            </w:r>
          </w:p>
        </w:tc>
        <w:tc>
          <w:tcPr>
            <w:tcW w:type="dxa" w:w="3250"/>
            <w:shd w:fill="1B365D"/>
            <w:tcMar>
              <w:top w:w="120" w:type="dxa"/>
              <w:bottom w:w="120" w:type="dxa"/>
              <w:left w:w="150" w:type="dxa"/>
              <w:right w:w="150" w:type="dxa"/>
            </w:tcMar>
          </w:tcPr>
          <w:p>
            <w:pPr>
              <w:jc w:val="center"/>
            </w:pPr>
            <w:r>
              <w:t>Year ended FY 2023-24</w:t>
            </w:r>
          </w:p>
        </w:tc>
      </w:tr>
      <w:tr>
        <w:tc>
          <w:tcPr>
            <w:tcW w:type="dxa" w:w="3250"/>
            <w:tcMar>
              <w:top w:w="80" w:type="dxa"/>
              <w:bottom w:w="80" w:type="dxa"/>
              <w:left w:w="120" w:type="dxa"/>
              <w:right w:w="120" w:type="dxa"/>
            </w:tcMar>
          </w:tcPr>
          <w:p>
            <w:r>
              <w:rPr>
                <w:rFonts w:ascii="Segoe UI" w:hAnsi="Segoe UI"/>
                <w:sz w:val="18"/>
              </w:rPr>
              <w:t>Power &amp; Fuel Expenses</w:t>
            </w:r>
          </w:p>
        </w:tc>
        <w:tc>
          <w:tcPr>
            <w:tcW w:type="dxa" w:w="3250"/>
            <w:tcMar>
              <w:top w:w="80" w:type="dxa"/>
              <w:bottom w:w="80" w:type="dxa"/>
              <w:left w:w="120" w:type="dxa"/>
              <w:right w:w="120" w:type="dxa"/>
            </w:tcMar>
            <w:shd w:fill="F1F5F9"/>
          </w:tcPr>
          <w:p>
            <w:pPr>
              <w:jc w:val="right"/>
            </w:pPr>
            <w:r>
              <w:rPr>
                <w:rFonts w:ascii="Segoe UI" w:hAnsi="Segoe UI"/>
                <w:sz w:val="18"/>
              </w:rPr>
              <w:t>12.60</w:t>
            </w:r>
          </w:p>
        </w:tc>
        <w:tc>
          <w:tcPr>
            <w:tcW w:type="dxa" w:w="3250"/>
            <w:tcMar>
              <w:top w:w="80" w:type="dxa"/>
              <w:bottom w:w="80" w:type="dxa"/>
              <w:left w:w="120" w:type="dxa"/>
              <w:right w:w="120" w:type="dxa"/>
            </w:tcMar>
            <w:shd w:fill="F1F5F9"/>
          </w:tcPr>
          <w:p>
            <w:pPr>
              <w:jc w:val="right"/>
            </w:pPr>
            <w:r>
              <w:rPr>
                <w:rFonts w:ascii="Segoe UI" w:hAnsi="Segoe UI"/>
                <w:sz w:val="18"/>
              </w:rPr>
              <w:t>8.96</w:t>
            </w:r>
          </w:p>
        </w:tc>
      </w:tr>
      <w:tr>
        <w:tc>
          <w:tcPr>
            <w:tcW w:type="dxa" w:w="3250"/>
            <w:tcMar>
              <w:top w:w="80" w:type="dxa"/>
              <w:bottom w:w="80" w:type="dxa"/>
              <w:left w:w="120" w:type="dxa"/>
              <w:right w:w="120" w:type="dxa"/>
            </w:tcMar>
          </w:tcPr>
          <w:p>
            <w:r>
              <w:rPr>
                <w:rFonts w:ascii="Segoe UI" w:hAnsi="Segoe UI"/>
                <w:sz w:val="18"/>
              </w:rPr>
              <w:t>Rent, Rates &amp; Taxes</w:t>
            </w:r>
          </w:p>
        </w:tc>
        <w:tc>
          <w:tcPr>
            <w:tcW w:type="dxa" w:w="3250"/>
            <w:tcMar>
              <w:top w:w="80" w:type="dxa"/>
              <w:bottom w:w="80" w:type="dxa"/>
              <w:left w:w="120" w:type="dxa"/>
              <w:right w:w="120" w:type="dxa"/>
            </w:tcMar>
            <w:shd w:fill="F1F5F9"/>
          </w:tcPr>
          <w:p>
            <w:pPr>
              <w:jc w:val="right"/>
            </w:pPr>
            <w:r>
              <w:rPr>
                <w:rFonts w:ascii="Segoe UI" w:hAnsi="Segoe UI"/>
                <w:sz w:val="18"/>
              </w:rPr>
              <w:t>8.10</w:t>
            </w:r>
          </w:p>
        </w:tc>
        <w:tc>
          <w:tcPr>
            <w:tcW w:type="dxa" w:w="3250"/>
            <w:tcMar>
              <w:top w:w="80" w:type="dxa"/>
              <w:bottom w:w="80" w:type="dxa"/>
              <w:left w:w="120" w:type="dxa"/>
              <w:right w:w="120" w:type="dxa"/>
            </w:tcMar>
            <w:shd w:fill="F1F5F9"/>
          </w:tcPr>
          <w:p>
            <w:pPr>
              <w:jc w:val="right"/>
            </w:pPr>
            <w:r>
              <w:rPr>
                <w:rFonts w:ascii="Segoe UI" w:hAnsi="Segoe UI"/>
                <w:sz w:val="18"/>
              </w:rPr>
              <w:t>5.76</w:t>
            </w:r>
          </w:p>
        </w:tc>
      </w:tr>
      <w:tr>
        <w:tc>
          <w:tcPr>
            <w:tcW w:type="dxa" w:w="3250"/>
            <w:tcMar>
              <w:top w:w="80" w:type="dxa"/>
              <w:bottom w:w="80" w:type="dxa"/>
              <w:left w:w="120" w:type="dxa"/>
              <w:right w:w="120" w:type="dxa"/>
            </w:tcMar>
          </w:tcPr>
          <w:p>
            <w:r>
              <w:rPr>
                <w:rFonts w:ascii="Segoe UI" w:hAnsi="Segoe UI"/>
                <w:sz w:val="18"/>
              </w:rPr>
              <w:t>Repairs &amp; Maintenance - Plant &amp; Machinery</w:t>
            </w:r>
          </w:p>
        </w:tc>
        <w:tc>
          <w:tcPr>
            <w:tcW w:type="dxa" w:w="3250"/>
            <w:tcMar>
              <w:top w:w="80" w:type="dxa"/>
              <w:bottom w:w="80" w:type="dxa"/>
              <w:left w:w="120" w:type="dxa"/>
              <w:right w:w="120" w:type="dxa"/>
            </w:tcMar>
            <w:shd w:fill="F1F5F9"/>
          </w:tcPr>
          <w:p>
            <w:pPr>
              <w:jc w:val="right"/>
            </w:pPr>
            <w:r>
              <w:rPr>
                <w:rFonts w:ascii="Segoe UI" w:hAnsi="Segoe UI"/>
                <w:sz w:val="18"/>
              </w:rPr>
              <w:t>4.50</w:t>
            </w:r>
          </w:p>
        </w:tc>
        <w:tc>
          <w:tcPr>
            <w:tcW w:type="dxa" w:w="3250"/>
            <w:tcMar>
              <w:top w:w="80" w:type="dxa"/>
              <w:bottom w:w="80" w:type="dxa"/>
              <w:left w:w="120" w:type="dxa"/>
              <w:right w:w="120" w:type="dxa"/>
            </w:tcMar>
            <w:shd w:fill="F1F5F9"/>
          </w:tcPr>
          <w:p>
            <w:pPr>
              <w:jc w:val="right"/>
            </w:pPr>
            <w:r>
              <w:rPr>
                <w:rFonts w:ascii="Segoe UI" w:hAnsi="Segoe UI"/>
                <w:sz w:val="18"/>
              </w:rPr>
              <w:t>3.20</w:t>
            </w:r>
          </w:p>
        </w:tc>
      </w:tr>
      <w:tr>
        <w:tc>
          <w:tcPr>
            <w:tcW w:type="dxa" w:w="3250"/>
            <w:tcMar>
              <w:top w:w="80" w:type="dxa"/>
              <w:bottom w:w="80" w:type="dxa"/>
              <w:left w:w="120" w:type="dxa"/>
              <w:right w:w="120" w:type="dxa"/>
            </w:tcMar>
          </w:tcPr>
          <w:p>
            <w:r>
              <w:rPr>
                <w:rFonts w:ascii="Segoe UI" w:hAnsi="Segoe UI"/>
                <w:sz w:val="18"/>
              </w:rPr>
              <w:t>Repairs &amp; Maintenance - Buildings &amp; Civil</w:t>
            </w:r>
          </w:p>
        </w:tc>
        <w:tc>
          <w:tcPr>
            <w:tcW w:type="dxa" w:w="3250"/>
            <w:tcMar>
              <w:top w:w="80" w:type="dxa"/>
              <w:bottom w:w="80" w:type="dxa"/>
              <w:left w:w="120" w:type="dxa"/>
              <w:right w:w="120" w:type="dxa"/>
            </w:tcMar>
            <w:shd w:fill="F1F5F9"/>
          </w:tcPr>
          <w:p>
            <w:pPr>
              <w:jc w:val="right"/>
            </w:pPr>
            <w:r>
              <w:rPr>
                <w:rFonts w:ascii="Segoe UI" w:hAnsi="Segoe UI"/>
                <w:sz w:val="18"/>
              </w:rPr>
              <w:t>2.25</w:t>
            </w:r>
          </w:p>
        </w:tc>
        <w:tc>
          <w:tcPr>
            <w:tcW w:type="dxa" w:w="3250"/>
            <w:tcMar>
              <w:top w:w="80" w:type="dxa"/>
              <w:bottom w:w="80" w:type="dxa"/>
              <w:left w:w="120" w:type="dxa"/>
              <w:right w:w="120" w:type="dxa"/>
            </w:tcMar>
            <w:shd w:fill="F1F5F9"/>
          </w:tcPr>
          <w:p>
            <w:pPr>
              <w:jc w:val="right"/>
            </w:pPr>
            <w:r>
              <w:rPr>
                <w:rFonts w:ascii="Segoe UI" w:hAnsi="Segoe UI"/>
                <w:sz w:val="18"/>
              </w:rPr>
              <w:t>1.60</w:t>
            </w:r>
          </w:p>
        </w:tc>
      </w:tr>
      <w:tr>
        <w:tc>
          <w:tcPr>
            <w:tcW w:type="dxa" w:w="3250"/>
            <w:tcMar>
              <w:top w:w="80" w:type="dxa"/>
              <w:bottom w:w="80" w:type="dxa"/>
              <w:left w:w="120" w:type="dxa"/>
              <w:right w:w="120" w:type="dxa"/>
            </w:tcMar>
          </w:tcPr>
          <w:p>
            <w:r>
              <w:rPr>
                <w:rFonts w:ascii="Segoe UI" w:hAnsi="Segoe UI"/>
                <w:sz w:val="18"/>
              </w:rPr>
              <w:t>Freight &amp; Transportation Outward</w:t>
            </w:r>
          </w:p>
        </w:tc>
        <w:tc>
          <w:tcPr>
            <w:tcW w:type="dxa" w:w="3250"/>
            <w:tcMar>
              <w:top w:w="80" w:type="dxa"/>
              <w:bottom w:w="80" w:type="dxa"/>
              <w:left w:w="120" w:type="dxa"/>
              <w:right w:w="120" w:type="dxa"/>
            </w:tcMar>
            <w:shd w:fill="F1F5F9"/>
          </w:tcPr>
          <w:p>
            <w:pPr>
              <w:jc w:val="right"/>
            </w:pPr>
            <w:r>
              <w:rPr>
                <w:rFonts w:ascii="Segoe UI" w:hAnsi="Segoe UI"/>
                <w:sz w:val="18"/>
              </w:rPr>
              <w:t>5.40</w:t>
            </w:r>
          </w:p>
        </w:tc>
        <w:tc>
          <w:tcPr>
            <w:tcW w:type="dxa" w:w="3250"/>
            <w:tcMar>
              <w:top w:w="80" w:type="dxa"/>
              <w:bottom w:w="80" w:type="dxa"/>
              <w:left w:w="120" w:type="dxa"/>
              <w:right w:w="120" w:type="dxa"/>
            </w:tcMar>
            <w:shd w:fill="F1F5F9"/>
          </w:tcPr>
          <w:p>
            <w:pPr>
              <w:jc w:val="right"/>
            </w:pPr>
            <w:r>
              <w:rPr>
                <w:rFonts w:ascii="Segoe UI" w:hAnsi="Segoe UI"/>
                <w:sz w:val="18"/>
              </w:rPr>
              <w:t>3.84</w:t>
            </w:r>
          </w:p>
        </w:tc>
      </w:tr>
      <w:tr>
        <w:tc>
          <w:tcPr>
            <w:tcW w:type="dxa" w:w="3250"/>
            <w:tcMar>
              <w:top w:w="80" w:type="dxa"/>
              <w:bottom w:w="80" w:type="dxa"/>
              <w:left w:w="120" w:type="dxa"/>
              <w:right w:w="120" w:type="dxa"/>
            </w:tcMar>
          </w:tcPr>
          <w:p>
            <w:r>
              <w:rPr>
                <w:rFonts w:ascii="Segoe UI" w:hAnsi="Segoe UI"/>
                <w:sz w:val="18"/>
              </w:rPr>
              <w:t>Legal &amp; Professional Fees</w:t>
            </w:r>
          </w:p>
        </w:tc>
        <w:tc>
          <w:tcPr>
            <w:tcW w:type="dxa" w:w="3250"/>
            <w:tcMar>
              <w:top w:w="80" w:type="dxa"/>
              <w:bottom w:w="80" w:type="dxa"/>
              <w:left w:w="120" w:type="dxa"/>
              <w:right w:w="120" w:type="dxa"/>
            </w:tcMar>
            <w:shd w:fill="F1F5F9"/>
          </w:tcPr>
          <w:p>
            <w:pPr>
              <w:jc w:val="right"/>
            </w:pPr>
            <w:r>
              <w:rPr>
                <w:rFonts w:ascii="Segoe UI" w:hAnsi="Segoe UI"/>
                <w:sz w:val="18"/>
              </w:rPr>
              <w:t>3.60</w:t>
            </w:r>
          </w:p>
        </w:tc>
        <w:tc>
          <w:tcPr>
            <w:tcW w:type="dxa" w:w="3250"/>
            <w:tcMar>
              <w:top w:w="80" w:type="dxa"/>
              <w:bottom w:w="80" w:type="dxa"/>
              <w:left w:w="120" w:type="dxa"/>
              <w:right w:w="120" w:type="dxa"/>
            </w:tcMar>
            <w:shd w:fill="F1F5F9"/>
          </w:tcPr>
          <w:p>
            <w:pPr>
              <w:jc w:val="right"/>
            </w:pPr>
            <w:r>
              <w:rPr>
                <w:rFonts w:ascii="Segoe UI" w:hAnsi="Segoe UI"/>
                <w:sz w:val="18"/>
              </w:rPr>
              <w:t>2.56</w:t>
            </w:r>
          </w:p>
        </w:tc>
      </w:tr>
      <w:tr>
        <w:tc>
          <w:tcPr>
            <w:tcW w:type="dxa" w:w="3250"/>
            <w:tcMar>
              <w:top w:w="80" w:type="dxa"/>
              <w:bottom w:w="80" w:type="dxa"/>
              <w:left w:w="120" w:type="dxa"/>
              <w:right w:w="120" w:type="dxa"/>
            </w:tcMar>
          </w:tcPr>
          <w:p>
            <w:r>
              <w:rPr>
                <w:rFonts w:ascii="Segoe UI" w:hAnsi="Segoe UI"/>
                <w:sz w:val="18"/>
              </w:rPr>
              <w:t>Insurance Premiums</w:t>
            </w:r>
          </w:p>
        </w:tc>
        <w:tc>
          <w:tcPr>
            <w:tcW w:type="dxa" w:w="3250"/>
            <w:tcMar>
              <w:top w:w="80" w:type="dxa"/>
              <w:bottom w:w="80" w:type="dxa"/>
              <w:left w:w="120" w:type="dxa"/>
              <w:right w:w="120" w:type="dxa"/>
            </w:tcMar>
            <w:shd w:fill="F1F5F9"/>
          </w:tcPr>
          <w:p>
            <w:pPr>
              <w:jc w:val="right"/>
            </w:pPr>
            <w:r>
              <w:rPr>
                <w:rFonts w:ascii="Segoe UI" w:hAnsi="Segoe UI"/>
                <w:sz w:val="18"/>
              </w:rPr>
              <w:t>1.80</w:t>
            </w:r>
          </w:p>
        </w:tc>
        <w:tc>
          <w:tcPr>
            <w:tcW w:type="dxa" w:w="3250"/>
            <w:tcMar>
              <w:top w:w="80" w:type="dxa"/>
              <w:bottom w:w="80" w:type="dxa"/>
              <w:left w:w="120" w:type="dxa"/>
              <w:right w:w="120" w:type="dxa"/>
            </w:tcMar>
            <w:shd w:fill="F1F5F9"/>
          </w:tcPr>
          <w:p>
            <w:pPr>
              <w:jc w:val="right"/>
            </w:pPr>
            <w:r>
              <w:rPr>
                <w:rFonts w:ascii="Segoe UI" w:hAnsi="Segoe UI"/>
                <w:sz w:val="18"/>
              </w:rPr>
              <w:t>1.28</w:t>
            </w:r>
          </w:p>
        </w:tc>
      </w:tr>
      <w:tr>
        <w:tc>
          <w:tcPr>
            <w:tcW w:type="dxa" w:w="3250"/>
            <w:tcMar>
              <w:top w:w="80" w:type="dxa"/>
              <w:bottom w:w="80" w:type="dxa"/>
              <w:left w:w="120" w:type="dxa"/>
              <w:right w:w="120" w:type="dxa"/>
            </w:tcMar>
          </w:tcPr>
          <w:p>
            <w:r>
              <w:rPr>
                <w:rFonts w:ascii="Segoe UI" w:hAnsi="Segoe UI"/>
                <w:sz w:val="18"/>
              </w:rPr>
              <w:t>Printing, Stationery &amp; Communication</w:t>
            </w:r>
          </w:p>
        </w:tc>
        <w:tc>
          <w:tcPr>
            <w:tcW w:type="dxa" w:w="3250"/>
            <w:tcMar>
              <w:top w:w="80" w:type="dxa"/>
              <w:bottom w:w="80" w:type="dxa"/>
              <w:left w:w="120" w:type="dxa"/>
              <w:right w:w="120" w:type="dxa"/>
            </w:tcMar>
            <w:shd w:fill="F1F5F9"/>
          </w:tcPr>
          <w:p>
            <w:pPr>
              <w:jc w:val="right"/>
            </w:pPr>
            <w:r>
              <w:rPr>
                <w:rFonts w:ascii="Segoe UI" w:hAnsi="Segoe UI"/>
                <w:sz w:val="18"/>
              </w:rPr>
              <w:t>1.35</w:t>
            </w:r>
          </w:p>
        </w:tc>
        <w:tc>
          <w:tcPr>
            <w:tcW w:type="dxa" w:w="3250"/>
            <w:tcMar>
              <w:top w:w="80" w:type="dxa"/>
              <w:bottom w:w="80" w:type="dxa"/>
              <w:left w:w="120" w:type="dxa"/>
              <w:right w:w="120" w:type="dxa"/>
            </w:tcMar>
            <w:shd w:fill="F1F5F9"/>
          </w:tcPr>
          <w:p>
            <w:pPr>
              <w:jc w:val="right"/>
            </w:pPr>
            <w:r>
              <w:rPr>
                <w:rFonts w:ascii="Segoe UI" w:hAnsi="Segoe UI"/>
                <w:sz w:val="18"/>
              </w:rPr>
              <w:t>0.96</w:t>
            </w:r>
          </w:p>
        </w:tc>
      </w:tr>
      <w:tr>
        <w:tc>
          <w:tcPr>
            <w:tcW w:type="dxa" w:w="3250"/>
            <w:tcMar>
              <w:top w:w="80" w:type="dxa"/>
              <w:bottom w:w="80" w:type="dxa"/>
              <w:left w:w="120" w:type="dxa"/>
              <w:right w:w="120" w:type="dxa"/>
            </w:tcMar>
          </w:tcPr>
          <w:p>
            <w:r>
              <w:rPr>
                <w:rFonts w:ascii="Segoe UI" w:hAnsi="Segoe UI"/>
                <w:sz w:val="18"/>
              </w:rPr>
              <w:t>Travelling &amp; Conveyance Expenses</w:t>
            </w:r>
          </w:p>
        </w:tc>
        <w:tc>
          <w:tcPr>
            <w:tcW w:type="dxa" w:w="3250"/>
            <w:tcMar>
              <w:top w:w="80" w:type="dxa"/>
              <w:bottom w:w="80" w:type="dxa"/>
              <w:left w:w="120" w:type="dxa"/>
              <w:right w:w="120" w:type="dxa"/>
            </w:tcMar>
            <w:shd w:fill="F1F5F9"/>
          </w:tcPr>
          <w:p>
            <w:pPr>
              <w:jc w:val="right"/>
            </w:pPr>
            <w:r>
              <w:rPr>
                <w:rFonts w:ascii="Segoe UI" w:hAnsi="Segoe UI"/>
                <w:sz w:val="18"/>
              </w:rPr>
              <w:t>2.25</w:t>
            </w:r>
          </w:p>
        </w:tc>
        <w:tc>
          <w:tcPr>
            <w:tcW w:type="dxa" w:w="3250"/>
            <w:tcMar>
              <w:top w:w="80" w:type="dxa"/>
              <w:bottom w:w="80" w:type="dxa"/>
              <w:left w:w="120" w:type="dxa"/>
              <w:right w:w="120" w:type="dxa"/>
            </w:tcMar>
            <w:shd w:fill="F1F5F9"/>
          </w:tcPr>
          <w:p>
            <w:pPr>
              <w:jc w:val="right"/>
            </w:pPr>
            <w:r>
              <w:rPr>
                <w:rFonts w:ascii="Segoe UI" w:hAnsi="Segoe UI"/>
                <w:sz w:val="18"/>
              </w:rPr>
              <w:t>1.60</w:t>
            </w:r>
          </w:p>
        </w:tc>
      </w:tr>
      <w:tr>
        <w:tc>
          <w:tcPr>
            <w:tcW w:type="dxa" w:w="3250"/>
            <w:tcMar>
              <w:top w:w="80" w:type="dxa"/>
              <w:bottom w:w="80" w:type="dxa"/>
              <w:left w:w="120" w:type="dxa"/>
              <w:right w:w="120" w:type="dxa"/>
            </w:tcMar>
          </w:tcPr>
          <w:p>
            <w:r>
              <w:rPr>
                <w:rFonts w:ascii="Segoe UI" w:hAnsi="Segoe UI"/>
                <w:sz w:val="18"/>
              </w:rPr>
              <w:t>Statutory Auditor Remuneration (as auditor)</w:t>
            </w:r>
          </w:p>
        </w:tc>
        <w:tc>
          <w:tcPr>
            <w:tcW w:type="dxa" w:w="3250"/>
            <w:tcMar>
              <w:top w:w="80" w:type="dxa"/>
              <w:bottom w:w="80" w:type="dxa"/>
              <w:left w:w="120" w:type="dxa"/>
              <w:right w:w="120" w:type="dxa"/>
            </w:tcMar>
            <w:shd w:fill="F1F5F9"/>
          </w:tcPr>
          <w:p>
            <w:pPr>
              <w:jc w:val="right"/>
            </w:pPr>
            <w:r>
              <w:rPr>
                <w:rFonts w:ascii="Segoe UI" w:hAnsi="Segoe UI"/>
                <w:sz w:val="18"/>
              </w:rPr>
              <w:t>0.90</w:t>
            </w:r>
          </w:p>
        </w:tc>
        <w:tc>
          <w:tcPr>
            <w:tcW w:type="dxa" w:w="3250"/>
            <w:tcMar>
              <w:top w:w="80" w:type="dxa"/>
              <w:bottom w:w="80" w:type="dxa"/>
              <w:left w:w="120" w:type="dxa"/>
              <w:right w:w="120" w:type="dxa"/>
            </w:tcMar>
            <w:shd w:fill="F1F5F9"/>
          </w:tcPr>
          <w:p>
            <w:pPr>
              <w:jc w:val="right"/>
            </w:pPr>
            <w:r>
              <w:rPr>
                <w:rFonts w:ascii="Segoe UI" w:hAnsi="Segoe UI"/>
                <w:sz w:val="18"/>
              </w:rPr>
              <w:t>0.64</w:t>
            </w:r>
          </w:p>
        </w:tc>
      </w:tr>
      <w:tr>
        <w:tc>
          <w:tcPr>
            <w:tcW w:type="dxa" w:w="3250"/>
            <w:tcMar>
              <w:top w:w="80" w:type="dxa"/>
              <w:bottom w:w="80" w:type="dxa"/>
              <w:left w:w="120" w:type="dxa"/>
              <w:right w:w="120" w:type="dxa"/>
            </w:tcMar>
          </w:tcPr>
          <w:p>
            <w:r>
              <w:rPr>
                <w:rFonts w:ascii="Segoe UI" w:hAnsi="Segoe UI"/>
                <w:sz w:val="18"/>
              </w:rPr>
              <w:t>Miscellaneous Administrative Expenses</w:t>
            </w:r>
          </w:p>
        </w:tc>
        <w:tc>
          <w:tcPr>
            <w:tcW w:type="dxa" w:w="3250"/>
            <w:tcMar>
              <w:top w:w="80" w:type="dxa"/>
              <w:bottom w:w="80" w:type="dxa"/>
              <w:left w:w="120" w:type="dxa"/>
              <w:right w:w="120" w:type="dxa"/>
            </w:tcMar>
            <w:shd w:fill="F1F5F9"/>
          </w:tcPr>
          <w:p>
            <w:pPr>
              <w:jc w:val="right"/>
            </w:pPr>
            <w:r>
              <w:rPr>
                <w:rFonts w:ascii="Segoe UI" w:hAnsi="Segoe UI"/>
                <w:sz w:val="18"/>
              </w:rPr>
              <w:t>2.25</w:t>
            </w:r>
          </w:p>
        </w:tc>
        <w:tc>
          <w:tcPr>
            <w:tcW w:type="dxa" w:w="3250"/>
            <w:tcMar>
              <w:top w:w="80" w:type="dxa"/>
              <w:bottom w:w="80" w:type="dxa"/>
              <w:left w:w="120" w:type="dxa"/>
              <w:right w:w="120" w:type="dxa"/>
            </w:tcMar>
            <w:shd w:fill="F1F5F9"/>
          </w:tcPr>
          <w:p>
            <w:pPr>
              <w:jc w:val="right"/>
            </w:pPr>
            <w:r>
              <w:rPr>
                <w:rFonts w:ascii="Segoe UI" w:hAnsi="Segoe UI"/>
                <w:sz w:val="18"/>
              </w:rPr>
              <w:t>1.60</w:t>
            </w:r>
          </w:p>
        </w:tc>
      </w:tr>
      <w:tr>
        <w:tc>
          <w:tcPr>
            <w:tcW w:type="dxa" w:w="3250"/>
            <w:tcMar>
              <w:top w:w="80" w:type="dxa"/>
              <w:bottom w:w="80" w:type="dxa"/>
              <w:left w:w="120" w:type="dxa"/>
              <w:right w:w="120" w:type="dxa"/>
            </w:tcMar>
          </w:tcPr>
          <w:p>
            <w:r>
              <w:rPr>
                <w:rFonts w:ascii="Segoe UI" w:hAnsi="Segoe UI"/>
                <w:b/>
                <w:sz w:val="18"/>
              </w:rPr>
              <w:t>TOTAL OTHER EXPENSES</w:t>
            </w:r>
          </w:p>
        </w:tc>
        <w:tc>
          <w:tcPr>
            <w:tcW w:type="dxa" w:w="3250"/>
            <w:tcMar>
              <w:top w:w="80" w:type="dxa"/>
              <w:bottom w:w="80" w:type="dxa"/>
              <w:left w:w="120" w:type="dxa"/>
              <w:right w:w="120" w:type="dxa"/>
            </w:tcMar>
            <w:shd w:fill="F1F5F9"/>
          </w:tcPr>
          <w:p>
            <w:pPr>
              <w:jc w:val="right"/>
            </w:pPr>
            <w:r>
              <w:rPr>
                <w:rFonts w:ascii="Segoe UI" w:hAnsi="Segoe UI"/>
                <w:b/>
                <w:sz w:val="18"/>
              </w:rPr>
              <w:t>45.00</w:t>
            </w:r>
          </w:p>
        </w:tc>
        <w:tc>
          <w:tcPr>
            <w:tcW w:type="dxa" w:w="3250"/>
            <w:tcMar>
              <w:top w:w="80" w:type="dxa"/>
              <w:bottom w:w="80" w:type="dxa"/>
              <w:left w:w="120" w:type="dxa"/>
              <w:right w:w="120" w:type="dxa"/>
            </w:tcMar>
            <w:shd w:fill="F1F5F9"/>
          </w:tcPr>
          <w:p>
            <w:pPr>
              <w:jc w:val="right"/>
            </w:pPr>
            <w:r>
              <w:rPr>
                <w:rFonts w:ascii="Segoe UI" w:hAnsi="Segoe UI"/>
                <w:b/>
                <w:sz w:val="18"/>
              </w:rPr>
              <w:t>32.00</w:t>
            </w:r>
          </w:p>
        </w:tc>
      </w:tr>
    </w:tbl>
    <w:p/>
    <w:p>
      <w:pPr>
        <w:spacing w:after="160"/>
      </w:pPr>
      <w:r>
        <w:rPr>
          <w:rFonts w:ascii="Segoe UI" w:hAnsi="Segoe UI"/>
          <w:sz w:val="18"/>
        </w:rPr>
        <w:t>Auditor Remuneration:</w:t>
        <w:br/>
        <w:t xml:space="preserve">  As statutory auditor: Rs 2.50 Lakhs (PY: Rs 2.00 Lakhs)</w:t>
        <w:br/>
        <w:t xml:space="preserve">  For other services: Rs Nil | Out-of-pocket expenses: Rs Nil</w:t>
        <w:br/>
        <w:br/>
        <w:t>Rent expense includes factory premises, branch offices, and godown facilities. There are no non-cancellable operating lease arrangements requiring disclosure under AS 19.</w:t>
      </w:r>
    </w:p>
    <w:p>
      <w:pPr>
        <w:keepNext/>
        <w:spacing w:before="200" w:after="40"/>
      </w:pPr>
      <w:r>
        <w:rPr>
          <w:rFonts w:ascii="Segoe UI" w:hAnsi="Segoe UI"/>
          <w:b/>
          <w:color w:val="1B365D"/>
          <w:sz w:val="21"/>
        </w:rPr>
        <w:t>NOTE 7.6: TAX EXPENSE</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Year ended FY 2024-25</w:t>
            </w:r>
          </w:p>
        </w:tc>
        <w:tc>
          <w:tcPr>
            <w:tcW w:type="dxa" w:w="3250"/>
            <w:shd w:fill="1B365D"/>
            <w:tcMar>
              <w:top w:w="120" w:type="dxa"/>
              <w:bottom w:w="120" w:type="dxa"/>
              <w:left w:w="150" w:type="dxa"/>
              <w:right w:w="150" w:type="dxa"/>
            </w:tcMar>
          </w:tcPr>
          <w:p>
            <w:pPr>
              <w:jc w:val="center"/>
            </w:pPr>
            <w:r>
              <w:t>Year ended FY 2023-24</w:t>
            </w:r>
          </w:p>
        </w:tc>
      </w:tr>
      <w:tr>
        <w:tc>
          <w:tcPr>
            <w:tcW w:type="dxa" w:w="3250"/>
            <w:tcMar>
              <w:top w:w="80" w:type="dxa"/>
              <w:bottom w:w="80" w:type="dxa"/>
              <w:left w:w="120" w:type="dxa"/>
              <w:right w:w="120" w:type="dxa"/>
            </w:tcMar>
          </w:tcPr>
          <w:p>
            <w:r>
              <w:rPr>
                <w:rFonts w:ascii="Segoe UI" w:hAnsi="Segoe UI"/>
                <w:sz w:val="18"/>
              </w:rPr>
              <w:t>Current Tax - Income Tax for the year</w:t>
            </w:r>
          </w:p>
        </w:tc>
        <w:tc>
          <w:tcPr>
            <w:tcW w:type="dxa" w:w="3250"/>
            <w:tcMar>
              <w:top w:w="80" w:type="dxa"/>
              <w:bottom w:w="80" w:type="dxa"/>
              <w:left w:w="120" w:type="dxa"/>
              <w:right w:w="120" w:type="dxa"/>
            </w:tcMar>
            <w:shd w:fill="F1F5F9"/>
          </w:tcPr>
          <w:p>
            <w:pPr>
              <w:jc w:val="right"/>
            </w:pPr>
            <w:r>
              <w:rPr>
                <w:rFonts w:ascii="Segoe UI" w:hAnsi="Segoe UI"/>
                <w:sz w:val="18"/>
              </w:rPr>
              <w:t>36.00</w:t>
            </w:r>
          </w:p>
        </w:tc>
        <w:tc>
          <w:tcPr>
            <w:tcW w:type="dxa" w:w="3250"/>
            <w:tcMar>
              <w:top w:w="80" w:type="dxa"/>
              <w:bottom w:w="80" w:type="dxa"/>
              <w:left w:w="120" w:type="dxa"/>
              <w:right w:w="120" w:type="dxa"/>
            </w:tcMar>
            <w:shd w:fill="F1F5F9"/>
          </w:tcPr>
          <w:p>
            <w:pPr>
              <w:jc w:val="right"/>
            </w:pPr>
            <w:r>
              <w:rPr>
                <w:rFonts w:ascii="Segoe UI" w:hAnsi="Segoe UI"/>
                <w:sz w:val="18"/>
              </w:rPr>
              <w:t>27.00</w:t>
            </w:r>
          </w:p>
        </w:tc>
      </w:tr>
      <w:tr>
        <w:tc>
          <w:tcPr>
            <w:tcW w:type="dxa" w:w="3250"/>
            <w:tcMar>
              <w:top w:w="80" w:type="dxa"/>
              <w:bottom w:w="80" w:type="dxa"/>
              <w:left w:w="120" w:type="dxa"/>
              <w:right w:w="120" w:type="dxa"/>
            </w:tcMar>
          </w:tcPr>
          <w:p>
            <w:r>
              <w:rPr>
                <w:rFonts w:ascii="Segoe UI" w:hAnsi="Segoe UI"/>
                <w:sz w:val="18"/>
              </w:rPr>
              <w:t>Deferred Tax Charge / (Credit)</w:t>
            </w:r>
          </w:p>
        </w:tc>
        <w:tc>
          <w:tcPr>
            <w:tcW w:type="dxa" w:w="3250"/>
            <w:tcMar>
              <w:top w:w="80" w:type="dxa"/>
              <w:bottom w:w="80" w:type="dxa"/>
              <w:left w:w="120" w:type="dxa"/>
              <w:right w:w="120" w:type="dxa"/>
            </w:tcMar>
            <w:shd w:fill="F1F5F9"/>
          </w:tcPr>
          <w:p>
            <w:pPr>
              <w:jc w:val="right"/>
            </w:pPr>
            <w:r>
              <w:rPr>
                <w:rFonts w:ascii="Segoe UI" w:hAnsi="Segoe UI"/>
                <w:sz w:val="18"/>
              </w:rPr>
              <w:t>4.00</w:t>
            </w:r>
          </w:p>
        </w:tc>
        <w:tc>
          <w:tcPr>
            <w:tcW w:type="dxa" w:w="3250"/>
            <w:tcMar>
              <w:top w:w="80" w:type="dxa"/>
              <w:bottom w:w="80" w:type="dxa"/>
              <w:left w:w="120" w:type="dxa"/>
              <w:right w:w="120" w:type="dxa"/>
            </w:tcMar>
            <w:shd w:fill="F1F5F9"/>
          </w:tcPr>
          <w:p>
            <w:pPr>
              <w:jc w:val="right"/>
            </w:pPr>
            <w:r>
              <w:rPr>
                <w:rFonts w:ascii="Segoe UI" w:hAnsi="Segoe UI"/>
                <w:sz w:val="18"/>
              </w:rPr>
              <w:t>3.00</w:t>
            </w:r>
          </w:p>
        </w:tc>
      </w:tr>
      <w:tr>
        <w:tc>
          <w:tcPr>
            <w:tcW w:type="dxa" w:w="3250"/>
            <w:tcMar>
              <w:top w:w="80" w:type="dxa"/>
              <w:bottom w:w="80" w:type="dxa"/>
              <w:left w:w="120" w:type="dxa"/>
              <w:right w:w="120" w:type="dxa"/>
            </w:tcMar>
          </w:tcPr>
          <w:p>
            <w:r>
              <w:rPr>
                <w:rFonts w:ascii="Segoe UI" w:hAnsi="Segoe UI"/>
                <w:sz w:val="18"/>
              </w:rPr>
              <w:t>Earlier Years' Tax Adjustments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b/>
                <w:sz w:val="18"/>
              </w:rPr>
              <w:t>TOTAL TAX EXPENSE</w:t>
            </w:r>
          </w:p>
        </w:tc>
        <w:tc>
          <w:tcPr>
            <w:tcW w:type="dxa" w:w="3250"/>
            <w:tcMar>
              <w:top w:w="80" w:type="dxa"/>
              <w:bottom w:w="80" w:type="dxa"/>
              <w:left w:w="120" w:type="dxa"/>
              <w:right w:w="120" w:type="dxa"/>
            </w:tcMar>
            <w:shd w:fill="F1F5F9"/>
          </w:tcPr>
          <w:p>
            <w:pPr>
              <w:jc w:val="right"/>
            </w:pPr>
            <w:r>
              <w:rPr>
                <w:rFonts w:ascii="Segoe UI" w:hAnsi="Segoe UI"/>
                <w:b/>
                <w:sz w:val="18"/>
              </w:rPr>
              <w:t>40.00</w:t>
            </w:r>
          </w:p>
        </w:tc>
        <w:tc>
          <w:tcPr>
            <w:tcW w:type="dxa" w:w="3250"/>
            <w:tcMar>
              <w:top w:w="80" w:type="dxa"/>
              <w:bottom w:w="80" w:type="dxa"/>
              <w:left w:w="120" w:type="dxa"/>
              <w:right w:w="120" w:type="dxa"/>
            </w:tcMar>
            <w:shd w:fill="F1F5F9"/>
          </w:tcPr>
          <w:p>
            <w:pPr>
              <w:jc w:val="right"/>
            </w:pPr>
            <w:r>
              <w:rPr>
                <w:rFonts w:ascii="Segoe UI" w:hAnsi="Segoe UI"/>
                <w:b/>
                <w:sz w:val="18"/>
              </w:rPr>
              <w:t>30.00</w:t>
            </w:r>
          </w:p>
        </w:tc>
      </w:tr>
    </w:tbl>
    <w:p/>
    <w:p>
      <w:pPr>
        <w:spacing w:after="160"/>
      </w:pPr>
      <w:r>
        <w:rPr>
          <w:rFonts w:ascii="Segoe UI" w:hAnsi="Segoe UI"/>
          <w:sz w:val="18"/>
        </w:rPr>
        <w:t>Current Tax: Provision for income tax is made based on applicable income tax rates under the Income Tax Act, 1961 after considering deductions and allowances.</w:t>
        <w:br/>
        <w:t>Deferred Tax: Deferred tax assets and liabilities are recognised for all timing differences as per AS 22.</w:t>
        <w:br/>
        <w:t>Effective Tax Rate: 14.3% (PY: 14.6%)</w:t>
        <w:br/>
        <w:t>MAT Credit: No MAT credit entitlement has arisen during the year.</w:t>
      </w:r>
    </w:p>
    <w:p>
      <w:pPr>
        <w:keepNext/>
        <w:spacing w:before="200" w:after="40"/>
      </w:pPr>
      <w:r>
        <w:rPr>
          <w:rFonts w:ascii="Segoe UI" w:hAnsi="Segoe UI"/>
          <w:b/>
          <w:color w:val="1B365D"/>
          <w:sz w:val="21"/>
        </w:rPr>
        <w:t>NOTE 8.1: RELATED PARTY DISCLOSURES (AS 18)</w:t>
      </w:r>
    </w:p>
    <w:tbl>
      <w:tblPr>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1393"/>
            <w:shd w:fill="1B365D"/>
            <w:tcMar>
              <w:top w:w="120" w:type="dxa"/>
              <w:bottom w:w="120" w:type="dxa"/>
              <w:left w:w="150" w:type="dxa"/>
              <w:right w:w="150" w:type="dxa"/>
            </w:tcMar>
          </w:tcPr>
          <w:p>
            <w:pPr>
              <w:jc w:val="center"/>
            </w:pPr>
            <w:r>
              <w:t>Related Party Name</w:t>
            </w:r>
          </w:p>
        </w:tc>
        <w:tc>
          <w:tcPr>
            <w:tcW w:type="dxa" w:w="1393"/>
            <w:shd w:fill="1B365D"/>
            <w:tcMar>
              <w:top w:w="120" w:type="dxa"/>
              <w:bottom w:w="120" w:type="dxa"/>
              <w:left w:w="150" w:type="dxa"/>
              <w:right w:w="150" w:type="dxa"/>
            </w:tcMar>
          </w:tcPr>
          <w:p>
            <w:pPr>
              <w:jc w:val="center"/>
            </w:pPr>
            <w:r>
              <w:t>Relationship</w:t>
            </w:r>
          </w:p>
        </w:tc>
        <w:tc>
          <w:tcPr>
            <w:tcW w:type="dxa" w:w="1393"/>
            <w:shd w:fill="1B365D"/>
            <w:tcMar>
              <w:top w:w="120" w:type="dxa"/>
              <w:bottom w:w="120" w:type="dxa"/>
              <w:left w:w="150" w:type="dxa"/>
              <w:right w:w="150" w:type="dxa"/>
            </w:tcMar>
          </w:tcPr>
          <w:p>
            <w:pPr>
              <w:jc w:val="center"/>
            </w:pPr>
            <w:r>
              <w:t>Nature of Transaction</w:t>
            </w:r>
          </w:p>
        </w:tc>
        <w:tc>
          <w:tcPr>
            <w:tcW w:type="dxa" w:w="1393"/>
            <w:shd w:fill="1B365D"/>
            <w:tcMar>
              <w:top w:w="120" w:type="dxa"/>
              <w:bottom w:w="120" w:type="dxa"/>
              <w:left w:w="150" w:type="dxa"/>
              <w:right w:w="150" w:type="dxa"/>
            </w:tcMar>
          </w:tcPr>
          <w:p>
            <w:pPr>
              <w:jc w:val="center"/>
            </w:pPr>
            <w:r>
              <w:t>Opening Balance</w:t>
            </w:r>
          </w:p>
        </w:tc>
        <w:tc>
          <w:tcPr>
            <w:tcW w:type="dxa" w:w="1393"/>
            <w:shd w:fill="1B365D"/>
            <w:tcMar>
              <w:top w:w="120" w:type="dxa"/>
              <w:bottom w:w="120" w:type="dxa"/>
              <w:left w:w="150" w:type="dxa"/>
              <w:right w:w="150" w:type="dxa"/>
            </w:tcMar>
          </w:tcPr>
          <w:p>
            <w:pPr>
              <w:jc w:val="center"/>
            </w:pPr>
            <w:r>
              <w:t>Debit Tx</w:t>
            </w:r>
          </w:p>
        </w:tc>
        <w:tc>
          <w:tcPr>
            <w:tcW w:type="dxa" w:w="1393"/>
            <w:shd w:fill="1B365D"/>
            <w:tcMar>
              <w:top w:w="120" w:type="dxa"/>
              <w:bottom w:w="120" w:type="dxa"/>
              <w:left w:w="150" w:type="dxa"/>
              <w:right w:w="150" w:type="dxa"/>
            </w:tcMar>
          </w:tcPr>
          <w:p>
            <w:pPr>
              <w:jc w:val="center"/>
            </w:pPr>
            <w:r>
              <w:t>Credit Tx</w:t>
            </w:r>
          </w:p>
        </w:tc>
        <w:tc>
          <w:tcPr>
            <w:tcW w:type="dxa" w:w="1393"/>
            <w:shd w:fill="1B365D"/>
            <w:tcMar>
              <w:top w:w="120" w:type="dxa"/>
              <w:bottom w:w="120" w:type="dxa"/>
              <w:left w:w="150" w:type="dxa"/>
              <w:right w:w="150" w:type="dxa"/>
            </w:tcMar>
          </w:tcPr>
          <w:p>
            <w:pPr>
              <w:jc w:val="center"/>
            </w:pPr>
            <w:r>
              <w:t>Closing Balance</w:t>
            </w:r>
          </w:p>
        </w:tc>
      </w:tr>
      <w:tr>
        <w:tc>
          <w:tcPr>
            <w:tcW w:type="dxa" w:w="1393"/>
            <w:tcMar>
              <w:top w:w="80" w:type="dxa"/>
              <w:bottom w:w="80" w:type="dxa"/>
              <w:left w:w="120" w:type="dxa"/>
              <w:right w:w="120" w:type="dxa"/>
            </w:tcMar>
          </w:tcPr>
          <w:p>
            <w:r>
              <w:rPr>
                <w:rFonts w:ascii="Segoe UI" w:hAnsi="Segoe UI"/>
                <w:sz w:val="18"/>
              </w:rPr>
              <w:t>Rajesh Kumar (Managing Director)</w:t>
            </w:r>
          </w:p>
        </w:tc>
        <w:tc>
          <w:tcPr>
            <w:tcW w:type="dxa" w:w="1393"/>
            <w:tcMar>
              <w:top w:w="80" w:type="dxa"/>
              <w:bottom w:w="80" w:type="dxa"/>
              <w:left w:w="120" w:type="dxa"/>
              <w:right w:w="120" w:type="dxa"/>
            </w:tcMar>
            <w:shd w:fill="F1F5F9"/>
          </w:tcPr>
          <w:p>
            <w:pPr>
              <w:jc w:val="right"/>
            </w:pPr>
            <w:r>
              <w:rPr>
                <w:rFonts w:ascii="Segoe UI" w:hAnsi="Segoe UI"/>
                <w:sz w:val="18"/>
              </w:rPr>
              <w:t>Key Managerial Personnel (KMP)</w:t>
            </w:r>
          </w:p>
        </w:tc>
        <w:tc>
          <w:tcPr>
            <w:tcW w:type="dxa" w:w="1393"/>
            <w:tcMar>
              <w:top w:w="80" w:type="dxa"/>
              <w:bottom w:w="80" w:type="dxa"/>
              <w:left w:w="120" w:type="dxa"/>
              <w:right w:w="120" w:type="dxa"/>
            </w:tcMar>
            <w:shd w:fill="F1F5F9"/>
          </w:tcPr>
          <w:p>
            <w:pPr>
              <w:jc w:val="right"/>
            </w:pPr>
            <w:r>
              <w:rPr>
                <w:rFonts w:ascii="Segoe UI" w:hAnsi="Segoe UI"/>
                <w:sz w:val="18"/>
              </w:rPr>
              <w:t>Managerial Remuneration &amp; Director Sitting Fees</w:t>
            </w:r>
          </w:p>
        </w:tc>
        <w:tc>
          <w:tcPr>
            <w:tcW w:type="dxa" w:w="1393"/>
            <w:tcMar>
              <w:top w:w="80" w:type="dxa"/>
              <w:bottom w:w="80" w:type="dxa"/>
              <w:left w:w="120" w:type="dxa"/>
              <w:right w:w="120" w:type="dxa"/>
            </w:tcMar>
            <w:shd w:fill="F1F5F9"/>
          </w:tcPr>
          <w:p>
            <w:pPr>
              <w:jc w:val="right"/>
            </w:pPr>
            <w:r>
              <w:rPr>
                <w:rFonts w:ascii="Segoe UI" w:hAnsi="Segoe UI"/>
                <w:sz w:val="18"/>
              </w:rPr>
              <w:t>0.00</w:t>
            </w:r>
          </w:p>
        </w:tc>
        <w:tc>
          <w:tcPr>
            <w:tcW w:type="dxa" w:w="1393"/>
            <w:tcMar>
              <w:top w:w="80" w:type="dxa"/>
              <w:bottom w:w="80" w:type="dxa"/>
              <w:left w:w="120" w:type="dxa"/>
              <w:right w:w="120" w:type="dxa"/>
            </w:tcMar>
            <w:shd w:fill="F1F5F9"/>
          </w:tcPr>
          <w:p>
            <w:pPr>
              <w:jc w:val="right"/>
            </w:pPr>
            <w:r>
              <w:rPr>
                <w:rFonts w:ascii="Segoe UI" w:hAnsi="Segoe UI"/>
                <w:sz w:val="18"/>
              </w:rPr>
              <w:t>0.00</w:t>
            </w:r>
          </w:p>
        </w:tc>
        <w:tc>
          <w:tcPr>
            <w:tcW w:type="dxa" w:w="1393"/>
            <w:tcMar>
              <w:top w:w="80" w:type="dxa"/>
              <w:bottom w:w="80" w:type="dxa"/>
              <w:left w:w="120" w:type="dxa"/>
              <w:right w:w="120" w:type="dxa"/>
            </w:tcMar>
            <w:shd w:fill="F1F5F9"/>
          </w:tcPr>
          <w:p>
            <w:pPr>
              <w:jc w:val="right"/>
            </w:pPr>
            <w:r>
              <w:rPr>
                <w:rFonts w:ascii="Segoe UI" w:hAnsi="Segoe UI"/>
                <w:sz w:val="18"/>
              </w:rPr>
              <w:t>36.00</w:t>
            </w:r>
          </w:p>
        </w:tc>
        <w:tc>
          <w:tcPr>
            <w:tcW w:type="dxa" w:w="1393"/>
            <w:tcMar>
              <w:top w:w="80" w:type="dxa"/>
              <w:bottom w:w="80" w:type="dxa"/>
              <w:left w:w="120" w:type="dxa"/>
              <w:right w:w="120" w:type="dxa"/>
            </w:tcMar>
            <w:shd w:fill="F1F5F9"/>
          </w:tcPr>
          <w:p>
            <w:pPr>
              <w:jc w:val="right"/>
            </w:pPr>
            <w:r>
              <w:rPr>
                <w:rFonts w:ascii="Segoe UI" w:hAnsi="Segoe UI"/>
                <w:sz w:val="18"/>
              </w:rPr>
              <w:t>3.00</w:t>
            </w:r>
          </w:p>
        </w:tc>
      </w:tr>
    </w:tbl>
    <w:p/>
    <w:p>
      <w:pPr>
        <w:spacing w:after="160"/>
      </w:pPr>
      <w:r>
        <w:rPr>
          <w:rFonts w:ascii="Segoe UI" w:hAnsi="Segoe UI"/>
          <w:sz w:val="18"/>
        </w:rPr>
        <w:t>Disclosure as required by Accounting Standard 18 - Related Party Disclosures.</w:t>
        <w:br/>
        <w:br/>
        <w:t>List of Related Parties and Nature of Relationship:</w:t>
        <w:br/>
        <w:t>i.  Subsidiary Companies: [None]</w:t>
        <w:br/>
        <w:t>ii. Associate Companies: Global Logistics Pvt Ltd</w:t>
        <w:br/>
        <w:t>iii. Key Management Personnel (KMP): Managing Director &amp; Director(s)</w:t>
        <w:br/>
        <w:t>iv. Relatives of KMP with significant influence: [As identified by Management]</w:t>
        <w:br/>
        <w:br/>
        <w:t>All transactions with related parties were carried out in the ordinary course of business and on arm's length basis.</w:t>
      </w:r>
    </w:p>
    <w:p>
      <w:pPr>
        <w:keepNext/>
        <w:spacing w:before="200" w:after="40"/>
      </w:pPr>
      <w:r>
        <w:rPr>
          <w:rFonts w:ascii="Segoe UI" w:hAnsi="Segoe UI"/>
          <w:b/>
          <w:color w:val="1B365D"/>
          <w:sz w:val="21"/>
        </w:rPr>
        <w:t>NOTE 8.2: CONTINGENT LIABILITIES &amp; COMMITMENTS (AS 29)</w:t>
      </w:r>
    </w:p>
    <w:tbl>
      <w:tblPr>
        <w:tblW w:type="auto" w:w="0"/>
        <w:jc w:val="center"/>
        <w:tblLook w:firstColumn="1" w:firstRow="1" w:lastColumn="0" w:lastRow="0" w:noHBand="0" w:noVBand="1" w:val="04A0"/>
      </w:tblPr>
      <w:tblGrid>
        <w:gridCol w:w="1625"/>
        <w:gridCol w:w="1625"/>
        <w:gridCol w:w="1625"/>
        <w:gridCol w:w="1625"/>
        <w:gridCol w:w="1625"/>
        <w:gridCol w:w="1625"/>
      </w:tblGrid>
      <w:tr>
        <w:tc>
          <w:tcPr>
            <w:tcW w:type="dxa" w:w="1625"/>
            <w:shd w:fill="1B365D"/>
            <w:tcMar>
              <w:top w:w="120" w:type="dxa"/>
              <w:bottom w:w="120" w:type="dxa"/>
              <w:left w:w="150" w:type="dxa"/>
              <w:right w:w="150" w:type="dxa"/>
            </w:tcMar>
          </w:tcPr>
          <w:p>
            <w:pPr>
              <w:jc w:val="center"/>
            </w:pPr>
            <w:r>
              <w:t>Nature of Contingency</w:t>
            </w:r>
          </w:p>
        </w:tc>
        <w:tc>
          <w:tcPr>
            <w:tcW w:type="dxa" w:w="1625"/>
            <w:shd w:fill="1B365D"/>
            <w:tcMar>
              <w:top w:w="120" w:type="dxa"/>
              <w:bottom w:w="120" w:type="dxa"/>
              <w:left w:w="150" w:type="dxa"/>
              <w:right w:w="150" w:type="dxa"/>
            </w:tcMar>
          </w:tcPr>
          <w:p>
            <w:pPr>
              <w:jc w:val="center"/>
            </w:pPr>
            <w:r>
              <w:t>Forum / Authority</w:t>
            </w:r>
          </w:p>
        </w:tc>
        <w:tc>
          <w:tcPr>
            <w:tcW w:type="dxa" w:w="1625"/>
            <w:shd w:fill="1B365D"/>
            <w:tcMar>
              <w:top w:w="120" w:type="dxa"/>
              <w:bottom w:w="120" w:type="dxa"/>
              <w:left w:w="150" w:type="dxa"/>
              <w:right w:w="150" w:type="dxa"/>
            </w:tcMar>
          </w:tcPr>
          <w:p>
            <w:pPr>
              <w:jc w:val="center"/>
            </w:pPr>
            <w:r>
              <w:t>CY Amount (FY 2024-25)</w:t>
            </w:r>
          </w:p>
        </w:tc>
        <w:tc>
          <w:tcPr>
            <w:tcW w:type="dxa" w:w="1625"/>
            <w:shd w:fill="1B365D"/>
            <w:tcMar>
              <w:top w:w="120" w:type="dxa"/>
              <w:bottom w:w="120" w:type="dxa"/>
              <w:left w:w="150" w:type="dxa"/>
              <w:right w:w="150" w:type="dxa"/>
            </w:tcMar>
          </w:tcPr>
          <w:p>
            <w:pPr>
              <w:jc w:val="center"/>
            </w:pPr>
            <w:r>
              <w:t>PY Amount (FY 2023-24)</w:t>
            </w:r>
          </w:p>
        </w:tc>
        <w:tc>
          <w:tcPr>
            <w:tcW w:type="dxa" w:w="1625"/>
            <w:shd w:fill="1B365D"/>
            <w:tcMar>
              <w:top w:w="120" w:type="dxa"/>
              <w:bottom w:w="120" w:type="dxa"/>
              <w:left w:w="150" w:type="dxa"/>
              <w:right w:w="150" w:type="dxa"/>
            </w:tcMar>
          </w:tcPr>
          <w:p>
            <w:pPr>
              <w:jc w:val="center"/>
            </w:pPr>
            <w:r>
              <w:t>Management Assessment</w:t>
            </w:r>
          </w:p>
        </w:tc>
        <w:tc>
          <w:tcPr>
            <w:tcW w:type="dxa" w:w="1625"/>
            <w:shd w:fill="1B365D"/>
            <w:tcMar>
              <w:top w:w="120" w:type="dxa"/>
              <w:bottom w:w="120" w:type="dxa"/>
              <w:left w:w="150" w:type="dxa"/>
              <w:right w:w="150" w:type="dxa"/>
            </w:tcMar>
          </w:tcPr>
          <w:p>
            <w:pPr>
              <w:jc w:val="center"/>
            </w:pPr>
            <w:r>
              <w:t>Provision Required</w:t>
            </w:r>
          </w:p>
        </w:tc>
      </w:tr>
      <w:tr>
        <w:tc>
          <w:tcPr>
            <w:tcW w:type="dxa" w:w="1625"/>
            <w:tcMar>
              <w:top w:w="80" w:type="dxa"/>
              <w:bottom w:w="80" w:type="dxa"/>
              <w:left w:w="120" w:type="dxa"/>
              <w:right w:w="120" w:type="dxa"/>
            </w:tcMar>
          </w:tcPr>
          <w:p>
            <w:r>
              <w:rPr>
                <w:rFonts w:ascii="Segoe UI" w:hAnsi="Segoe UI"/>
                <w:sz w:val="18"/>
              </w:rPr>
              <w:t>Disputed GST Penalty Assessment</w:t>
            </w:r>
          </w:p>
        </w:tc>
        <w:tc>
          <w:tcPr>
            <w:tcW w:type="dxa" w:w="1625"/>
            <w:tcMar>
              <w:top w:w="80" w:type="dxa"/>
              <w:bottom w:w="80" w:type="dxa"/>
              <w:left w:w="120" w:type="dxa"/>
              <w:right w:w="120" w:type="dxa"/>
            </w:tcMar>
            <w:shd w:fill="F1F5F9"/>
          </w:tcPr>
          <w:p>
            <w:pPr>
              <w:jc w:val="right"/>
            </w:pPr>
            <w:r>
              <w:rPr>
                <w:rFonts w:ascii="Segoe UI" w:hAnsi="Segoe UI"/>
                <w:sz w:val="18"/>
              </w:rPr>
              <w:t>GST Appellate Authority</w:t>
            </w:r>
          </w:p>
        </w:tc>
        <w:tc>
          <w:tcPr>
            <w:tcW w:type="dxa" w:w="1625"/>
            <w:tcMar>
              <w:top w:w="80" w:type="dxa"/>
              <w:bottom w:w="80" w:type="dxa"/>
              <w:left w:w="120" w:type="dxa"/>
              <w:right w:w="120" w:type="dxa"/>
            </w:tcMar>
            <w:shd w:fill="F1F5F9"/>
          </w:tcPr>
          <w:p>
            <w:pPr>
              <w:jc w:val="right"/>
            </w:pPr>
            <w:r>
              <w:rPr>
                <w:rFonts w:ascii="Segoe UI" w:hAnsi="Segoe UI"/>
                <w:sz w:val="18"/>
              </w:rPr>
              <w:t>35.00</w:t>
            </w:r>
          </w:p>
        </w:tc>
        <w:tc>
          <w:tcPr>
            <w:tcW w:type="dxa" w:w="1625"/>
            <w:tcMar>
              <w:top w:w="80" w:type="dxa"/>
              <w:bottom w:w="80" w:type="dxa"/>
              <w:left w:w="120" w:type="dxa"/>
              <w:right w:w="120" w:type="dxa"/>
            </w:tcMar>
            <w:shd w:fill="F1F5F9"/>
          </w:tcPr>
          <w:p>
            <w:pPr>
              <w:jc w:val="right"/>
            </w:pPr>
            <w:r>
              <w:rPr>
                <w:rFonts w:ascii="Segoe UI" w:hAnsi="Segoe UI"/>
                <w:sz w:val="18"/>
              </w:rPr>
              <w:t>35.00</w:t>
            </w:r>
          </w:p>
        </w:tc>
        <w:tc>
          <w:tcPr>
            <w:tcW w:type="dxa" w:w="1625"/>
            <w:tcMar>
              <w:top w:w="80" w:type="dxa"/>
              <w:bottom w:w="80" w:type="dxa"/>
              <w:left w:w="120" w:type="dxa"/>
              <w:right w:w="120" w:type="dxa"/>
            </w:tcMar>
            <w:shd w:fill="F1F5F9"/>
          </w:tcPr>
          <w:p>
            <w:pPr>
              <w:jc w:val="right"/>
            </w:pPr>
            <w:r>
              <w:rPr>
                <w:rFonts w:ascii="Segoe UI" w:hAnsi="Segoe UI"/>
                <w:sz w:val="18"/>
              </w:rPr>
              <w:t>High probability of favorable decision based on legal counsel opinion</w:t>
            </w:r>
          </w:p>
        </w:tc>
        <w:tc>
          <w:tcPr>
            <w:tcW w:type="dxa" w:w="1625"/>
            <w:tcMar>
              <w:top w:w="80" w:type="dxa"/>
              <w:bottom w:w="80" w:type="dxa"/>
              <w:left w:w="120" w:type="dxa"/>
              <w:right w:w="120" w:type="dxa"/>
            </w:tcMar>
            <w:shd w:fill="F1F5F9"/>
          </w:tcPr>
          <w:p>
            <w:pPr>
              <w:jc w:val="right"/>
            </w:pPr>
            <w:r>
              <w:rPr>
                <w:rFonts w:ascii="Segoe UI" w:hAnsi="Segoe UI"/>
                <w:sz w:val="18"/>
              </w:rPr>
              <w:t>No</w:t>
            </w:r>
          </w:p>
        </w:tc>
      </w:tr>
    </w:tbl>
    <w:p/>
    <w:p>
      <w:pPr>
        <w:spacing w:after="160"/>
      </w:pPr>
      <w:r>
        <w:rPr>
          <w:rFonts w:ascii="Segoe UI" w:hAnsi="Segoe UI"/>
          <w:sz w:val="18"/>
        </w:rPr>
        <w:t>Contingent Liabilities not provided for in the accounts (as per AS 29):</w:t>
        <w:br/>
        <w:t>Based on legal advice and merits of the case, management is of the view that the outcome is likely to be favourable and no provision is required.</w:t>
        <w:br/>
        <w:br/>
        <w:t>Capital Commitments:</w:t>
        <w:br/>
        <w:t>Estimated amount of contracts remaining to be executed on capital account and not provided for (net of advances): Rs Nil (PY: Rs Nil).</w:t>
      </w:r>
    </w:p>
    <w:p>
      <w:r>
        <w:br w:type="page"/>
      </w:r>
    </w:p>
    <w:p>
      <w:pPr>
        <w:keepNext/>
        <w:spacing w:before="280" w:after="120"/>
      </w:pPr>
      <w:r>
        <w:rPr>
          <w:rFonts w:ascii="Segoe UI" w:hAnsi="Segoe UI"/>
          <w:b/>
          <w:color w:val="1B365D"/>
          <w:sz w:val="26"/>
        </w:rPr>
        <w:t>RELATED PARTY DISCLOSURES (AS-18)</w:t>
      </w:r>
    </w:p>
    <w:tbl>
      <w:tblPr>
        <w:tblW w:type="auto" w:w="0"/>
        <w:jc w:val="center"/>
        <w:tblLook w:firstColumn="1" w:firstRow="1" w:lastColumn="0" w:lastRow="0" w:noHBand="0" w:noVBand="1" w:val="04A0"/>
      </w:tblPr>
      <w:tblGrid>
        <w:gridCol w:w="2437"/>
        <w:gridCol w:w="2437"/>
        <w:gridCol w:w="2437"/>
        <w:gridCol w:w="2437"/>
      </w:tblGrid>
      <w:tr>
        <w:tc>
          <w:tcPr>
            <w:tcW w:type="dxa" w:w="2437"/>
            <w:shd w:fill="1B365D"/>
            <w:tcMar>
              <w:top w:w="120" w:type="dxa"/>
              <w:bottom w:w="120" w:type="dxa"/>
              <w:left w:w="150" w:type="dxa"/>
              <w:right w:w="150" w:type="dxa"/>
            </w:tcMar>
          </w:tcPr>
          <w:p>
            <w:pPr>
              <w:jc w:val="center"/>
            </w:pPr>
            <w:r>
              <w:t>Party Name</w:t>
            </w:r>
          </w:p>
        </w:tc>
        <w:tc>
          <w:tcPr>
            <w:tcW w:type="dxa" w:w="2437"/>
            <w:shd w:fill="1B365D"/>
            <w:tcMar>
              <w:top w:w="120" w:type="dxa"/>
              <w:bottom w:w="120" w:type="dxa"/>
              <w:left w:w="150" w:type="dxa"/>
              <w:right w:w="150" w:type="dxa"/>
            </w:tcMar>
          </w:tcPr>
          <w:p>
            <w:pPr>
              <w:jc w:val="center"/>
            </w:pPr>
            <w:r>
              <w:t>Relationship</w:t>
            </w:r>
          </w:p>
        </w:tc>
        <w:tc>
          <w:tcPr>
            <w:tcW w:type="dxa" w:w="2437"/>
            <w:shd w:fill="1B365D"/>
            <w:tcMar>
              <w:top w:w="120" w:type="dxa"/>
              <w:bottom w:w="120" w:type="dxa"/>
              <w:left w:w="150" w:type="dxa"/>
              <w:right w:w="150" w:type="dxa"/>
            </w:tcMar>
          </w:tcPr>
          <w:p>
            <w:pPr>
              <w:jc w:val="center"/>
            </w:pPr>
            <w:r>
              <w:t>Nature of Transaction</w:t>
            </w:r>
          </w:p>
        </w:tc>
        <w:tc>
          <w:tcPr>
            <w:tcW w:type="dxa" w:w="2437"/>
            <w:shd w:fill="1B365D"/>
            <w:tcMar>
              <w:top w:w="120" w:type="dxa"/>
              <w:bottom w:w="120" w:type="dxa"/>
              <w:left w:w="150" w:type="dxa"/>
              <w:right w:w="150" w:type="dxa"/>
            </w:tcMar>
          </w:tcPr>
          <w:p>
            <w:pPr>
              <w:jc w:val="center"/>
            </w:pPr>
            <w:r>
              <w:t>Closing Balance (Lakhs)</w:t>
            </w:r>
          </w:p>
        </w:tc>
      </w:tr>
      <w:tr>
        <w:tc>
          <w:tcPr>
            <w:tcW w:type="dxa" w:w="2437"/>
            <w:tcMar>
              <w:top w:w="80" w:type="dxa"/>
              <w:bottom w:w="80" w:type="dxa"/>
              <w:left w:w="120" w:type="dxa"/>
              <w:right w:w="120" w:type="dxa"/>
            </w:tcMar>
          </w:tcPr>
          <w:p>
            <w:r>
              <w:rPr>
                <w:rFonts w:ascii="Segoe UI" w:hAnsi="Segoe UI"/>
                <w:sz w:val="18"/>
              </w:rPr>
              <w:t>Rajesh Kumar (Managing Director)</w:t>
            </w:r>
          </w:p>
        </w:tc>
        <w:tc>
          <w:tcPr>
            <w:tcW w:type="dxa" w:w="2437"/>
            <w:tcMar>
              <w:top w:w="80" w:type="dxa"/>
              <w:bottom w:w="80" w:type="dxa"/>
              <w:left w:w="120" w:type="dxa"/>
              <w:right w:w="120" w:type="dxa"/>
            </w:tcMar>
          </w:tcPr>
          <w:p>
            <w:r>
              <w:rPr>
                <w:rFonts w:ascii="Segoe UI" w:hAnsi="Segoe UI"/>
                <w:sz w:val="18"/>
              </w:rPr>
              <w:t>Key Managerial Personnel (KMP)</w:t>
            </w:r>
          </w:p>
        </w:tc>
        <w:tc>
          <w:tcPr>
            <w:tcW w:type="dxa" w:w="2437"/>
            <w:tcMar>
              <w:top w:w="80" w:type="dxa"/>
              <w:bottom w:w="80" w:type="dxa"/>
              <w:left w:w="120" w:type="dxa"/>
              <w:right w:w="120" w:type="dxa"/>
            </w:tcMar>
          </w:tcPr>
          <w:p>
            <w:r>
              <w:rPr>
                <w:rFonts w:ascii="Segoe UI" w:hAnsi="Segoe UI"/>
                <w:sz w:val="18"/>
              </w:rPr>
              <w:t>Managerial Remuneration &amp; Director Sitting Fees</w:t>
            </w:r>
          </w:p>
        </w:tc>
        <w:tc>
          <w:tcPr>
            <w:tcW w:type="dxa" w:w="2437"/>
            <w:tcMar>
              <w:top w:w="80" w:type="dxa"/>
              <w:bottom w:w="80" w:type="dxa"/>
              <w:left w:w="120" w:type="dxa"/>
              <w:right w:w="120" w:type="dxa"/>
            </w:tcMar>
            <w:shd w:fill="F1F5F9"/>
          </w:tcPr>
          <w:p>
            <w:pPr>
              <w:jc w:val="right"/>
            </w:pPr>
            <w:r>
              <w:rPr>
                <w:rFonts w:ascii="Segoe UI" w:hAnsi="Segoe UI"/>
                <w:sz w:val="18"/>
              </w:rPr>
              <w:t>3.00</w:t>
            </w:r>
          </w:p>
        </w:tc>
      </w:tr>
    </w:tbl>
    <w:p>
      <w:r>
        <w:br w:type="page"/>
      </w:r>
    </w:p>
    <w:p>
      <w:pPr>
        <w:keepNext/>
        <w:spacing w:before="280" w:after="120"/>
      </w:pPr>
      <w:r>
        <w:rPr>
          <w:rFonts w:ascii="Segoe UI" w:hAnsi="Segoe UI"/>
          <w:b/>
          <w:color w:val="1B365D"/>
          <w:sz w:val="26"/>
        </w:rPr>
        <w:t>CONTINGENT LIABILITIES &amp; COMMITMENTS (AS-29)</w:t>
      </w:r>
    </w:p>
    <w:tbl>
      <w:tblPr>
        <w:tblW w:type="auto" w:w="0"/>
        <w:jc w:val="center"/>
        <w:tblLook w:firstColumn="1" w:firstRow="1" w:lastColumn="0" w:lastRow="0" w:noHBand="0" w:noVBand="1" w:val="04A0"/>
      </w:tblPr>
      <w:tblGrid>
        <w:gridCol w:w="2437"/>
        <w:gridCol w:w="2437"/>
        <w:gridCol w:w="2437"/>
        <w:gridCol w:w="2437"/>
      </w:tblGrid>
      <w:tr>
        <w:tc>
          <w:tcPr>
            <w:tcW w:type="dxa" w:w="2437"/>
            <w:shd w:fill="1B365D"/>
            <w:tcMar>
              <w:top w:w="120" w:type="dxa"/>
              <w:bottom w:w="120" w:type="dxa"/>
              <w:left w:w="150" w:type="dxa"/>
              <w:right w:w="150" w:type="dxa"/>
            </w:tcMar>
          </w:tcPr>
          <w:p>
            <w:pPr>
              <w:jc w:val="center"/>
            </w:pPr>
            <w:r>
              <w:t>Nature of Contingency</w:t>
            </w:r>
          </w:p>
        </w:tc>
        <w:tc>
          <w:tcPr>
            <w:tcW w:type="dxa" w:w="2437"/>
            <w:shd w:fill="1B365D"/>
            <w:tcMar>
              <w:top w:w="120" w:type="dxa"/>
              <w:bottom w:w="120" w:type="dxa"/>
              <w:left w:w="150" w:type="dxa"/>
              <w:right w:w="150" w:type="dxa"/>
            </w:tcMar>
          </w:tcPr>
          <w:p>
            <w:pPr>
              <w:jc w:val="center"/>
            </w:pPr>
            <w:r>
              <w:t>Appellate Forum</w:t>
            </w:r>
          </w:p>
        </w:tc>
        <w:tc>
          <w:tcPr>
            <w:tcW w:type="dxa" w:w="2437"/>
            <w:shd w:fill="1B365D"/>
            <w:tcMar>
              <w:top w:w="120" w:type="dxa"/>
              <w:bottom w:w="120" w:type="dxa"/>
              <w:left w:w="150" w:type="dxa"/>
              <w:right w:w="150" w:type="dxa"/>
            </w:tcMar>
          </w:tcPr>
          <w:p>
            <w:pPr>
              <w:jc w:val="center"/>
            </w:pPr>
            <w:r>
              <w:t>CY Amount (Lakhs)</w:t>
            </w:r>
          </w:p>
        </w:tc>
        <w:tc>
          <w:tcPr>
            <w:tcW w:type="dxa" w:w="2437"/>
            <w:shd w:fill="1B365D"/>
            <w:tcMar>
              <w:top w:w="120" w:type="dxa"/>
              <w:bottom w:w="120" w:type="dxa"/>
              <w:left w:w="150" w:type="dxa"/>
              <w:right w:w="150" w:type="dxa"/>
            </w:tcMar>
          </w:tcPr>
          <w:p>
            <w:pPr>
              <w:jc w:val="center"/>
            </w:pPr>
            <w:r>
              <w:t>Management Assessment</w:t>
            </w:r>
          </w:p>
        </w:tc>
      </w:tr>
      <w:tr>
        <w:tc>
          <w:tcPr>
            <w:tcW w:type="dxa" w:w="2437"/>
            <w:tcMar>
              <w:top w:w="80" w:type="dxa"/>
              <w:bottom w:w="80" w:type="dxa"/>
              <w:left w:w="120" w:type="dxa"/>
              <w:right w:w="120" w:type="dxa"/>
            </w:tcMar>
          </w:tcPr>
          <w:p>
            <w:r>
              <w:rPr>
                <w:rFonts w:ascii="Segoe UI" w:hAnsi="Segoe UI"/>
                <w:sz w:val="18"/>
              </w:rPr>
              <w:t>Disputed GST Penalty Assessment</w:t>
            </w:r>
          </w:p>
        </w:tc>
        <w:tc>
          <w:tcPr>
            <w:tcW w:type="dxa" w:w="2437"/>
            <w:tcMar>
              <w:top w:w="80" w:type="dxa"/>
              <w:bottom w:w="80" w:type="dxa"/>
              <w:left w:w="120" w:type="dxa"/>
              <w:right w:w="120" w:type="dxa"/>
            </w:tcMar>
          </w:tcPr>
          <w:p>
            <w:r>
              <w:rPr>
                <w:rFonts w:ascii="Segoe UI" w:hAnsi="Segoe UI"/>
                <w:sz w:val="18"/>
              </w:rPr>
              <w:t>GST Appellate Authority</w:t>
            </w:r>
          </w:p>
        </w:tc>
        <w:tc>
          <w:tcPr>
            <w:tcW w:type="dxa" w:w="2437"/>
            <w:tcMar>
              <w:top w:w="80" w:type="dxa"/>
              <w:bottom w:w="80" w:type="dxa"/>
              <w:left w:w="120" w:type="dxa"/>
              <w:right w:w="120" w:type="dxa"/>
            </w:tcMar>
            <w:shd w:fill="F1F5F9"/>
          </w:tcPr>
          <w:p>
            <w:pPr>
              <w:jc w:val="right"/>
            </w:pPr>
            <w:r>
              <w:rPr>
                <w:rFonts w:ascii="Segoe UI" w:hAnsi="Segoe UI"/>
                <w:sz w:val="18"/>
              </w:rPr>
              <w:t>35.00</w:t>
            </w:r>
          </w:p>
        </w:tc>
        <w:tc>
          <w:tcPr>
            <w:tcW w:type="dxa" w:w="2437"/>
            <w:tcMar>
              <w:top w:w="80" w:type="dxa"/>
              <w:bottom w:w="80" w:type="dxa"/>
              <w:left w:w="120" w:type="dxa"/>
              <w:right w:w="120" w:type="dxa"/>
            </w:tcMar>
          </w:tcPr>
          <w:p>
            <w:r>
              <w:rPr>
                <w:rFonts w:ascii="Segoe UI" w:hAnsi="Segoe UI"/>
                <w:sz w:val="18"/>
              </w:rPr>
              <w:t>High probability of favorable decision based on legal counsel opinion</w:t>
            </w:r>
          </w:p>
        </w:tc>
      </w:tr>
    </w:tbl>
    <w:p>
      <w:r>
        <w:br w:type="page"/>
      </w:r>
    </w:p>
    <w:p>
      <w:pPr>
        <w:keepNext/>
        <w:spacing w:before="280" w:after="120"/>
      </w:pPr>
      <w:r>
        <w:rPr>
          <w:rFonts w:ascii="Segoe UI" w:hAnsi="Segoe UI"/>
          <w:b/>
          <w:color w:val="1B365D"/>
          <w:sz w:val="26"/>
        </w:rPr>
        <w:t>SCHEDULE III MANDATORY FINANCIAL RATIOS</w:t>
      </w:r>
    </w:p>
    <w:tbl>
      <w:tblPr>
        <w:tblW w:type="auto" w:w="0"/>
        <w:jc w:val="center"/>
        <w:tblLook w:firstColumn="1" w:firstRow="1" w:lastColumn="0" w:lastRow="0" w:noHBand="0" w:noVBand="1" w:val="04A0"/>
      </w:tblPr>
      <w:tblGrid>
        <w:gridCol w:w="1950"/>
        <w:gridCol w:w="1950"/>
        <w:gridCol w:w="1950"/>
        <w:gridCol w:w="1950"/>
        <w:gridCol w:w="1950"/>
      </w:tblGrid>
      <w:tr>
        <w:tc>
          <w:tcPr>
            <w:tcW w:type="dxa" w:w="1950"/>
            <w:shd w:fill="1B365D"/>
            <w:tcMar>
              <w:top w:w="120" w:type="dxa"/>
              <w:bottom w:w="120" w:type="dxa"/>
              <w:left w:w="150" w:type="dxa"/>
              <w:right w:w="150" w:type="dxa"/>
            </w:tcMar>
          </w:tcPr>
          <w:p>
            <w:pPr>
              <w:jc w:val="center"/>
            </w:pPr>
            <w:r>
              <w:t>Code</w:t>
            </w:r>
          </w:p>
        </w:tc>
        <w:tc>
          <w:tcPr>
            <w:tcW w:type="dxa" w:w="1950"/>
            <w:shd w:fill="1B365D"/>
            <w:tcMar>
              <w:top w:w="120" w:type="dxa"/>
              <w:bottom w:w="120" w:type="dxa"/>
              <w:left w:w="150" w:type="dxa"/>
              <w:right w:w="150" w:type="dxa"/>
            </w:tcMar>
          </w:tcPr>
          <w:p>
            <w:pPr>
              <w:jc w:val="center"/>
            </w:pPr>
            <w:r>
              <w:t>Ratio Name</w:t>
            </w:r>
          </w:p>
        </w:tc>
        <w:tc>
          <w:tcPr>
            <w:tcW w:type="dxa" w:w="1950"/>
            <w:shd w:fill="1B365D"/>
            <w:tcMar>
              <w:top w:w="120" w:type="dxa"/>
              <w:bottom w:w="120" w:type="dxa"/>
              <w:left w:w="150" w:type="dxa"/>
              <w:right w:w="150" w:type="dxa"/>
            </w:tcMar>
          </w:tcPr>
          <w:p>
            <w:pPr>
              <w:jc w:val="center"/>
            </w:pPr>
            <w:r>
              <w:t>CY Value</w:t>
            </w:r>
          </w:p>
        </w:tc>
        <w:tc>
          <w:tcPr>
            <w:tcW w:type="dxa" w:w="1950"/>
            <w:shd w:fill="1B365D"/>
            <w:tcMar>
              <w:top w:w="120" w:type="dxa"/>
              <w:bottom w:w="120" w:type="dxa"/>
              <w:left w:w="150" w:type="dxa"/>
              <w:right w:w="150" w:type="dxa"/>
            </w:tcMar>
          </w:tcPr>
          <w:p>
            <w:pPr>
              <w:jc w:val="center"/>
            </w:pPr>
            <w:r>
              <w:t>PY Value</w:t>
            </w:r>
          </w:p>
        </w:tc>
        <w:tc>
          <w:tcPr>
            <w:tcW w:type="dxa" w:w="1950"/>
            <w:shd w:fill="1B365D"/>
            <w:tcMar>
              <w:top w:w="120" w:type="dxa"/>
              <w:bottom w:w="120" w:type="dxa"/>
              <w:left w:w="150" w:type="dxa"/>
              <w:right w:w="150" w:type="dxa"/>
            </w:tcMar>
          </w:tcPr>
          <w:p>
            <w:pPr>
              <w:jc w:val="center"/>
            </w:pPr>
            <w:r>
              <w:t>Movement %</w:t>
            </w:r>
          </w:p>
        </w:tc>
      </w:tr>
      <w:tr>
        <w:tc>
          <w:tcPr>
            <w:tcW w:type="dxa" w:w="1950"/>
            <w:tcMar>
              <w:top w:w="80" w:type="dxa"/>
              <w:bottom w:w="80" w:type="dxa"/>
              <w:left w:w="120" w:type="dxa"/>
              <w:right w:w="120" w:type="dxa"/>
            </w:tcMar>
          </w:tcPr>
          <w:p>
            <w:r>
              <w:rPr>
                <w:rFonts w:ascii="Segoe UI" w:hAnsi="Segoe UI"/>
                <w:sz w:val="18"/>
              </w:rPr>
              <w:t>R01</w:t>
            </w:r>
          </w:p>
        </w:tc>
        <w:tc>
          <w:tcPr>
            <w:tcW w:type="dxa" w:w="1950"/>
            <w:tcMar>
              <w:top w:w="80" w:type="dxa"/>
              <w:bottom w:w="80" w:type="dxa"/>
              <w:left w:w="120" w:type="dxa"/>
              <w:right w:w="120" w:type="dxa"/>
            </w:tcMar>
          </w:tcPr>
          <w:p>
            <w:r>
              <w:rPr>
                <w:rFonts w:ascii="Segoe UI" w:hAnsi="Segoe UI"/>
                <w:sz w:val="18"/>
              </w:rPr>
              <w:t>Current Ratio</w:t>
            </w:r>
          </w:p>
        </w:tc>
        <w:tc>
          <w:tcPr>
            <w:tcW w:type="dxa" w:w="1950"/>
            <w:tcMar>
              <w:top w:w="80" w:type="dxa"/>
              <w:bottom w:w="80" w:type="dxa"/>
              <w:left w:w="120" w:type="dxa"/>
              <w:right w:w="120" w:type="dxa"/>
            </w:tcMar>
            <w:shd w:fill="F1F5F9"/>
          </w:tcPr>
          <w:p>
            <w:pPr>
              <w:jc w:val="right"/>
            </w:pPr>
            <w:r>
              <w:rPr>
                <w:rFonts w:ascii="Segoe UI" w:hAnsi="Segoe UI"/>
                <w:sz w:val="18"/>
              </w:rPr>
              <w:t>1.71 times</w:t>
            </w:r>
          </w:p>
        </w:tc>
        <w:tc>
          <w:tcPr>
            <w:tcW w:type="dxa" w:w="1950"/>
            <w:tcMar>
              <w:top w:w="80" w:type="dxa"/>
              <w:bottom w:w="80" w:type="dxa"/>
              <w:left w:w="120" w:type="dxa"/>
              <w:right w:w="120" w:type="dxa"/>
            </w:tcMar>
            <w:shd w:fill="F1F5F9"/>
          </w:tcPr>
          <w:p>
            <w:pPr>
              <w:jc w:val="right"/>
            </w:pPr>
            <w:r>
              <w:rPr>
                <w:rFonts w:ascii="Segoe UI" w:hAnsi="Segoe UI"/>
                <w:sz w:val="18"/>
              </w:rPr>
              <w:t>1.84 times</w:t>
            </w:r>
          </w:p>
        </w:tc>
        <w:tc>
          <w:tcPr>
            <w:tcW w:type="dxa" w:w="1950"/>
            <w:tcMar>
              <w:top w:w="80" w:type="dxa"/>
              <w:bottom w:w="80" w:type="dxa"/>
              <w:left w:w="120" w:type="dxa"/>
              <w:right w:w="120" w:type="dxa"/>
            </w:tcMar>
          </w:tcPr>
          <w:p>
            <w:pPr>
              <w:jc w:val="right"/>
            </w:pPr>
            <w:r>
              <w:rPr>
                <w:rFonts w:ascii="Segoe UI" w:hAnsi="Segoe UI"/>
                <w:sz w:val="18"/>
              </w:rPr>
              <w:t>-7.1%</w:t>
            </w:r>
          </w:p>
        </w:tc>
      </w:tr>
      <w:tr>
        <w:tc>
          <w:tcPr>
            <w:tcW w:type="dxa" w:w="1950"/>
            <w:tcMar>
              <w:top w:w="80" w:type="dxa"/>
              <w:bottom w:w="80" w:type="dxa"/>
              <w:left w:w="120" w:type="dxa"/>
              <w:right w:w="120" w:type="dxa"/>
            </w:tcMar>
          </w:tcPr>
          <w:p>
            <w:r>
              <w:rPr>
                <w:rFonts w:ascii="Segoe UI" w:hAnsi="Segoe UI"/>
                <w:sz w:val="18"/>
              </w:rPr>
              <w:t>R02</w:t>
            </w:r>
          </w:p>
        </w:tc>
        <w:tc>
          <w:tcPr>
            <w:tcW w:type="dxa" w:w="1950"/>
            <w:tcMar>
              <w:top w:w="80" w:type="dxa"/>
              <w:bottom w:w="80" w:type="dxa"/>
              <w:left w:w="120" w:type="dxa"/>
              <w:right w:w="120" w:type="dxa"/>
            </w:tcMar>
          </w:tcPr>
          <w:p>
            <w:r>
              <w:rPr>
                <w:rFonts w:ascii="Segoe UI" w:hAnsi="Segoe UI"/>
                <w:sz w:val="18"/>
              </w:rPr>
              <w:t>Debt Equity Ratio</w:t>
            </w:r>
          </w:p>
        </w:tc>
        <w:tc>
          <w:tcPr>
            <w:tcW w:type="dxa" w:w="1950"/>
            <w:tcMar>
              <w:top w:w="80" w:type="dxa"/>
              <w:bottom w:w="80" w:type="dxa"/>
              <w:left w:w="120" w:type="dxa"/>
              <w:right w:w="120" w:type="dxa"/>
            </w:tcMar>
            <w:shd w:fill="F1F5F9"/>
          </w:tcPr>
          <w:p>
            <w:pPr>
              <w:jc w:val="right"/>
            </w:pPr>
            <w:r>
              <w:rPr>
                <w:rFonts w:ascii="Segoe UI" w:hAnsi="Segoe UI"/>
                <w:sz w:val="18"/>
              </w:rPr>
              <w:t>0.49 times</w:t>
            </w:r>
          </w:p>
        </w:tc>
        <w:tc>
          <w:tcPr>
            <w:tcW w:type="dxa" w:w="1950"/>
            <w:tcMar>
              <w:top w:w="80" w:type="dxa"/>
              <w:bottom w:w="80" w:type="dxa"/>
              <w:left w:w="120" w:type="dxa"/>
              <w:right w:w="120" w:type="dxa"/>
            </w:tcMar>
            <w:shd w:fill="F1F5F9"/>
          </w:tcPr>
          <w:p>
            <w:pPr>
              <w:jc w:val="right"/>
            </w:pPr>
            <w:r>
              <w:rPr>
                <w:rFonts w:ascii="Segoe UI" w:hAnsi="Segoe UI"/>
                <w:sz w:val="18"/>
              </w:rPr>
              <w:t>0.71 times</w:t>
            </w:r>
          </w:p>
        </w:tc>
        <w:tc>
          <w:tcPr>
            <w:tcW w:type="dxa" w:w="1950"/>
            <w:tcMar>
              <w:top w:w="80" w:type="dxa"/>
              <w:bottom w:w="80" w:type="dxa"/>
              <w:left w:w="120" w:type="dxa"/>
              <w:right w:w="120" w:type="dxa"/>
            </w:tcMar>
          </w:tcPr>
          <w:p>
            <w:pPr>
              <w:jc w:val="right"/>
            </w:pPr>
            <w:r>
              <w:rPr>
                <w:rFonts w:ascii="Segoe UI" w:hAnsi="Segoe UI"/>
                <w:sz w:val="18"/>
              </w:rPr>
              <w:t>-31.0%</w:t>
            </w:r>
          </w:p>
        </w:tc>
      </w:tr>
      <w:tr>
        <w:tc>
          <w:tcPr>
            <w:tcW w:type="dxa" w:w="1950"/>
            <w:tcMar>
              <w:top w:w="80" w:type="dxa"/>
              <w:bottom w:w="80" w:type="dxa"/>
              <w:left w:w="120" w:type="dxa"/>
              <w:right w:w="120" w:type="dxa"/>
            </w:tcMar>
          </w:tcPr>
          <w:p>
            <w:r>
              <w:rPr>
                <w:rFonts w:ascii="Segoe UI" w:hAnsi="Segoe UI"/>
                <w:sz w:val="18"/>
              </w:rPr>
              <w:t>R03</w:t>
            </w:r>
          </w:p>
        </w:tc>
        <w:tc>
          <w:tcPr>
            <w:tcW w:type="dxa" w:w="1950"/>
            <w:tcMar>
              <w:top w:w="80" w:type="dxa"/>
              <w:bottom w:w="80" w:type="dxa"/>
              <w:left w:w="120" w:type="dxa"/>
              <w:right w:w="120" w:type="dxa"/>
            </w:tcMar>
          </w:tcPr>
          <w:p>
            <w:r>
              <w:rPr>
                <w:rFonts w:ascii="Segoe UI" w:hAnsi="Segoe UI"/>
                <w:sz w:val="18"/>
              </w:rPr>
              <w:t>Net Profit Ratio</w:t>
            </w:r>
          </w:p>
        </w:tc>
        <w:tc>
          <w:tcPr>
            <w:tcW w:type="dxa" w:w="1950"/>
            <w:tcMar>
              <w:top w:w="80" w:type="dxa"/>
              <w:bottom w:w="80" w:type="dxa"/>
              <w:left w:w="120" w:type="dxa"/>
              <w:right w:w="120" w:type="dxa"/>
            </w:tcMar>
            <w:shd w:fill="F1F5F9"/>
          </w:tcPr>
          <w:p>
            <w:pPr>
              <w:jc w:val="right"/>
            </w:pPr>
            <w:r>
              <w:rPr>
                <w:rFonts w:ascii="Segoe UI" w:hAnsi="Segoe UI"/>
                <w:sz w:val="18"/>
              </w:rPr>
              <w:t>28.24 %</w:t>
            </w:r>
          </w:p>
        </w:tc>
        <w:tc>
          <w:tcPr>
            <w:tcW w:type="dxa" w:w="1950"/>
            <w:tcMar>
              <w:top w:w="80" w:type="dxa"/>
              <w:bottom w:w="80" w:type="dxa"/>
              <w:left w:w="120" w:type="dxa"/>
              <w:right w:w="120" w:type="dxa"/>
            </w:tcMar>
            <w:shd w:fill="F1F5F9"/>
          </w:tcPr>
          <w:p>
            <w:pPr>
              <w:jc w:val="right"/>
            </w:pPr>
            <w:r>
              <w:rPr>
                <w:rFonts w:ascii="Segoe UI" w:hAnsi="Segoe UI"/>
                <w:sz w:val="18"/>
              </w:rPr>
              <w:t>25.00 %</w:t>
            </w:r>
          </w:p>
        </w:tc>
        <w:tc>
          <w:tcPr>
            <w:tcW w:type="dxa" w:w="1950"/>
            <w:tcMar>
              <w:top w:w="80" w:type="dxa"/>
              <w:bottom w:w="80" w:type="dxa"/>
              <w:left w:w="120" w:type="dxa"/>
              <w:right w:w="120" w:type="dxa"/>
            </w:tcMar>
          </w:tcPr>
          <w:p>
            <w:pPr>
              <w:jc w:val="right"/>
            </w:pPr>
            <w:r>
              <w:rPr>
                <w:rFonts w:ascii="Segoe UI" w:hAnsi="Segoe UI"/>
                <w:sz w:val="18"/>
              </w:rPr>
              <w:t>+13.0%</w:t>
            </w:r>
          </w:p>
        </w:tc>
      </w:tr>
      <w:tr>
        <w:tc>
          <w:tcPr>
            <w:tcW w:type="dxa" w:w="1950"/>
            <w:tcMar>
              <w:top w:w="80" w:type="dxa"/>
              <w:bottom w:w="80" w:type="dxa"/>
              <w:left w:w="120" w:type="dxa"/>
              <w:right w:w="120" w:type="dxa"/>
            </w:tcMar>
          </w:tcPr>
          <w:p>
            <w:r>
              <w:rPr>
                <w:rFonts w:ascii="Segoe UI" w:hAnsi="Segoe UI"/>
                <w:sz w:val="18"/>
              </w:rPr>
              <w:t>R04</w:t>
            </w:r>
          </w:p>
        </w:tc>
        <w:tc>
          <w:tcPr>
            <w:tcW w:type="dxa" w:w="1950"/>
            <w:tcMar>
              <w:top w:w="80" w:type="dxa"/>
              <w:bottom w:w="80" w:type="dxa"/>
              <w:left w:w="120" w:type="dxa"/>
              <w:right w:w="120" w:type="dxa"/>
            </w:tcMar>
          </w:tcPr>
          <w:p>
            <w:r>
              <w:rPr>
                <w:rFonts w:ascii="Segoe UI" w:hAnsi="Segoe UI"/>
                <w:sz w:val="18"/>
              </w:rPr>
              <w:t>EBITDA Margin</w:t>
            </w:r>
          </w:p>
        </w:tc>
        <w:tc>
          <w:tcPr>
            <w:tcW w:type="dxa" w:w="1950"/>
            <w:tcMar>
              <w:top w:w="80" w:type="dxa"/>
              <w:bottom w:w="80" w:type="dxa"/>
              <w:left w:w="120" w:type="dxa"/>
              <w:right w:w="120" w:type="dxa"/>
            </w:tcMar>
            <w:shd w:fill="F1F5F9"/>
          </w:tcPr>
          <w:p>
            <w:pPr>
              <w:jc w:val="right"/>
            </w:pPr>
            <w:r>
              <w:rPr>
                <w:rFonts w:ascii="Segoe UI" w:hAnsi="Segoe UI"/>
                <w:sz w:val="18"/>
              </w:rPr>
              <w:t>30.59 %</w:t>
            </w:r>
          </w:p>
        </w:tc>
        <w:tc>
          <w:tcPr>
            <w:tcW w:type="dxa" w:w="1950"/>
            <w:tcMar>
              <w:top w:w="80" w:type="dxa"/>
              <w:bottom w:w="80" w:type="dxa"/>
              <w:left w:w="120" w:type="dxa"/>
              <w:right w:w="120" w:type="dxa"/>
            </w:tcMar>
            <w:shd w:fill="F1F5F9"/>
          </w:tcPr>
          <w:p>
            <w:pPr>
              <w:jc w:val="right"/>
            </w:pPr>
            <w:r>
              <w:rPr>
                <w:rFonts w:ascii="Segoe UI" w:hAnsi="Segoe UI"/>
                <w:sz w:val="18"/>
              </w:rPr>
              <w:t>29.71 %</w:t>
            </w:r>
          </w:p>
        </w:tc>
        <w:tc>
          <w:tcPr>
            <w:tcW w:type="dxa" w:w="1950"/>
            <w:tcMar>
              <w:top w:w="80" w:type="dxa"/>
              <w:bottom w:w="80" w:type="dxa"/>
              <w:left w:w="120" w:type="dxa"/>
              <w:right w:w="120" w:type="dxa"/>
            </w:tcMar>
          </w:tcPr>
          <w:p>
            <w:pPr>
              <w:jc w:val="right"/>
            </w:pPr>
            <w:r>
              <w:rPr>
                <w:rFonts w:ascii="Segoe UI" w:hAnsi="Segoe UI"/>
                <w:sz w:val="18"/>
              </w:rPr>
              <w:t>+3.0%</w:t>
            </w:r>
          </w:p>
        </w:tc>
      </w:tr>
      <w:tr>
        <w:tc>
          <w:tcPr>
            <w:tcW w:type="dxa" w:w="1950"/>
            <w:tcMar>
              <w:top w:w="80" w:type="dxa"/>
              <w:bottom w:w="80" w:type="dxa"/>
              <w:left w:w="120" w:type="dxa"/>
              <w:right w:w="120" w:type="dxa"/>
            </w:tcMar>
          </w:tcPr>
          <w:p>
            <w:r>
              <w:rPr>
                <w:rFonts w:ascii="Segoe UI" w:hAnsi="Segoe UI"/>
                <w:sz w:val="18"/>
              </w:rPr>
              <w:t>R05</w:t>
            </w:r>
          </w:p>
        </w:tc>
        <w:tc>
          <w:tcPr>
            <w:tcW w:type="dxa" w:w="1950"/>
            <w:tcMar>
              <w:top w:w="80" w:type="dxa"/>
              <w:bottom w:w="80" w:type="dxa"/>
              <w:left w:w="120" w:type="dxa"/>
              <w:right w:w="120" w:type="dxa"/>
            </w:tcMar>
          </w:tcPr>
          <w:p>
            <w:r>
              <w:rPr>
                <w:rFonts w:ascii="Segoe UI" w:hAnsi="Segoe UI"/>
                <w:sz w:val="18"/>
              </w:rPr>
              <w:t>Return on Equity</w:t>
            </w:r>
          </w:p>
        </w:tc>
        <w:tc>
          <w:tcPr>
            <w:tcW w:type="dxa" w:w="1950"/>
            <w:tcMar>
              <w:top w:w="80" w:type="dxa"/>
              <w:bottom w:w="80" w:type="dxa"/>
              <w:left w:w="120" w:type="dxa"/>
              <w:right w:w="120" w:type="dxa"/>
            </w:tcMar>
            <w:shd w:fill="F1F5F9"/>
          </w:tcPr>
          <w:p>
            <w:pPr>
              <w:jc w:val="right"/>
            </w:pPr>
            <w:r>
              <w:rPr>
                <w:rFonts w:ascii="Segoe UI" w:hAnsi="Segoe UI"/>
                <w:sz w:val="18"/>
              </w:rPr>
              <w:t>35.82 %</w:t>
            </w:r>
          </w:p>
        </w:tc>
        <w:tc>
          <w:tcPr>
            <w:tcW w:type="dxa" w:w="1950"/>
            <w:tcMar>
              <w:top w:w="80" w:type="dxa"/>
              <w:bottom w:w="80" w:type="dxa"/>
              <w:left w:w="120" w:type="dxa"/>
              <w:right w:w="120" w:type="dxa"/>
            </w:tcMar>
            <w:shd w:fill="F1F5F9"/>
          </w:tcPr>
          <w:p>
            <w:pPr>
              <w:jc w:val="right"/>
            </w:pPr>
            <w:r>
              <w:rPr>
                <w:rFonts w:ascii="Segoe UI" w:hAnsi="Segoe UI"/>
                <w:sz w:val="18"/>
              </w:rPr>
              <w:t>34.65 %</w:t>
            </w:r>
          </w:p>
        </w:tc>
        <w:tc>
          <w:tcPr>
            <w:tcW w:type="dxa" w:w="1950"/>
            <w:tcMar>
              <w:top w:w="80" w:type="dxa"/>
              <w:bottom w:w="80" w:type="dxa"/>
              <w:left w:w="120" w:type="dxa"/>
              <w:right w:w="120" w:type="dxa"/>
            </w:tcMar>
          </w:tcPr>
          <w:p>
            <w:pPr>
              <w:jc w:val="right"/>
            </w:pPr>
            <w:r>
              <w:rPr>
                <w:rFonts w:ascii="Segoe UI" w:hAnsi="Segoe UI"/>
                <w:sz w:val="18"/>
              </w:rPr>
              <w:t>+3.4%</w:t>
            </w:r>
          </w:p>
        </w:tc>
      </w:tr>
      <w:tr>
        <w:tc>
          <w:tcPr>
            <w:tcW w:type="dxa" w:w="1950"/>
            <w:tcMar>
              <w:top w:w="80" w:type="dxa"/>
              <w:bottom w:w="80" w:type="dxa"/>
              <w:left w:w="120" w:type="dxa"/>
              <w:right w:w="120" w:type="dxa"/>
            </w:tcMar>
          </w:tcPr>
          <w:p>
            <w:r>
              <w:rPr>
                <w:rFonts w:ascii="Segoe UI" w:hAnsi="Segoe UI"/>
                <w:sz w:val="18"/>
              </w:rPr>
              <w:t>R06</w:t>
            </w:r>
          </w:p>
        </w:tc>
        <w:tc>
          <w:tcPr>
            <w:tcW w:type="dxa" w:w="1950"/>
            <w:tcMar>
              <w:top w:w="80" w:type="dxa"/>
              <w:bottom w:w="80" w:type="dxa"/>
              <w:left w:w="120" w:type="dxa"/>
              <w:right w:w="120" w:type="dxa"/>
            </w:tcMar>
          </w:tcPr>
          <w:p>
            <w:r>
              <w:rPr>
                <w:rFonts w:ascii="Segoe UI" w:hAnsi="Segoe UI"/>
                <w:sz w:val="18"/>
              </w:rPr>
              <w:t>Trade Receivable Days</w:t>
            </w:r>
          </w:p>
        </w:tc>
        <w:tc>
          <w:tcPr>
            <w:tcW w:type="dxa" w:w="1950"/>
            <w:tcMar>
              <w:top w:w="80" w:type="dxa"/>
              <w:bottom w:w="80" w:type="dxa"/>
              <w:left w:w="120" w:type="dxa"/>
              <w:right w:w="120" w:type="dxa"/>
            </w:tcMar>
            <w:shd w:fill="F1F5F9"/>
          </w:tcPr>
          <w:p>
            <w:pPr>
              <w:jc w:val="right"/>
            </w:pPr>
            <w:r>
              <w:rPr>
                <w:rFonts w:ascii="Segoe UI" w:hAnsi="Segoe UI"/>
                <w:sz w:val="18"/>
              </w:rPr>
              <w:t>75.15 days</w:t>
            </w:r>
          </w:p>
        </w:tc>
        <w:tc>
          <w:tcPr>
            <w:tcW w:type="dxa" w:w="1950"/>
            <w:tcMar>
              <w:top w:w="80" w:type="dxa"/>
              <w:bottom w:w="80" w:type="dxa"/>
              <w:left w:w="120" w:type="dxa"/>
              <w:right w:w="120" w:type="dxa"/>
            </w:tcMar>
            <w:shd w:fill="F1F5F9"/>
          </w:tcPr>
          <w:p>
            <w:pPr>
              <w:jc w:val="right"/>
            </w:pPr>
            <w:r>
              <w:rPr>
                <w:rFonts w:ascii="Segoe UI" w:hAnsi="Segoe UI"/>
                <w:sz w:val="18"/>
              </w:rPr>
              <w:t>73.00 days</w:t>
            </w:r>
          </w:p>
        </w:tc>
        <w:tc>
          <w:tcPr>
            <w:tcW w:type="dxa" w:w="1950"/>
            <w:tcMar>
              <w:top w:w="80" w:type="dxa"/>
              <w:bottom w:w="80" w:type="dxa"/>
              <w:left w:w="120" w:type="dxa"/>
              <w:right w:w="120" w:type="dxa"/>
            </w:tcMar>
          </w:tcPr>
          <w:p>
            <w:pPr>
              <w:jc w:val="right"/>
            </w:pPr>
            <w:r>
              <w:rPr>
                <w:rFonts w:ascii="Segoe UI" w:hAnsi="Segoe UI"/>
                <w:sz w:val="18"/>
              </w:rPr>
              <w:t>+2.9%</w:t>
            </w:r>
          </w:p>
        </w:tc>
      </w:tr>
      <w:tr>
        <w:tc>
          <w:tcPr>
            <w:tcW w:type="dxa" w:w="1950"/>
            <w:tcMar>
              <w:top w:w="80" w:type="dxa"/>
              <w:bottom w:w="80" w:type="dxa"/>
              <w:left w:w="120" w:type="dxa"/>
              <w:right w:w="120" w:type="dxa"/>
            </w:tcMar>
          </w:tcPr>
          <w:p>
            <w:r>
              <w:rPr>
                <w:rFonts w:ascii="Segoe UI" w:hAnsi="Segoe UI"/>
                <w:sz w:val="18"/>
              </w:rPr>
              <w:t>R07</w:t>
            </w:r>
          </w:p>
        </w:tc>
        <w:tc>
          <w:tcPr>
            <w:tcW w:type="dxa" w:w="1950"/>
            <w:tcMar>
              <w:top w:w="80" w:type="dxa"/>
              <w:bottom w:w="80" w:type="dxa"/>
              <w:left w:w="120" w:type="dxa"/>
              <w:right w:w="120" w:type="dxa"/>
            </w:tcMar>
          </w:tcPr>
          <w:p>
            <w:r>
              <w:rPr>
                <w:rFonts w:ascii="Segoe UI" w:hAnsi="Segoe UI"/>
                <w:sz w:val="18"/>
              </w:rPr>
              <w:t>Trade Payable Days</w:t>
            </w:r>
          </w:p>
        </w:tc>
        <w:tc>
          <w:tcPr>
            <w:tcW w:type="dxa" w:w="1950"/>
            <w:tcMar>
              <w:top w:w="80" w:type="dxa"/>
              <w:bottom w:w="80" w:type="dxa"/>
              <w:left w:w="120" w:type="dxa"/>
              <w:right w:w="120" w:type="dxa"/>
            </w:tcMar>
            <w:shd w:fill="F1F5F9"/>
          </w:tcPr>
          <w:p>
            <w:pPr>
              <w:jc w:val="right"/>
            </w:pPr>
            <w:r>
              <w:rPr>
                <w:rFonts w:ascii="Segoe UI" w:hAnsi="Segoe UI"/>
                <w:sz w:val="18"/>
              </w:rPr>
              <w:t>160.77 days</w:t>
            </w:r>
          </w:p>
        </w:tc>
        <w:tc>
          <w:tcPr>
            <w:tcW w:type="dxa" w:w="1950"/>
            <w:tcMar>
              <w:top w:w="80" w:type="dxa"/>
              <w:bottom w:w="80" w:type="dxa"/>
              <w:left w:w="120" w:type="dxa"/>
              <w:right w:w="120" w:type="dxa"/>
            </w:tcMar>
            <w:shd w:fill="F1F5F9"/>
          </w:tcPr>
          <w:p>
            <w:pPr>
              <w:jc w:val="right"/>
            </w:pPr>
            <w:r>
              <w:rPr>
                <w:rFonts w:ascii="Segoe UI" w:hAnsi="Segoe UI"/>
                <w:sz w:val="18"/>
              </w:rPr>
              <w:t>151.21 days</w:t>
            </w:r>
          </w:p>
        </w:tc>
        <w:tc>
          <w:tcPr>
            <w:tcW w:type="dxa" w:w="1950"/>
            <w:tcMar>
              <w:top w:w="80" w:type="dxa"/>
              <w:bottom w:w="80" w:type="dxa"/>
              <w:left w:w="120" w:type="dxa"/>
              <w:right w:w="120" w:type="dxa"/>
            </w:tcMar>
          </w:tcPr>
          <w:p>
            <w:pPr>
              <w:jc w:val="right"/>
            </w:pPr>
            <w:r>
              <w:rPr>
                <w:rFonts w:ascii="Segoe UI" w:hAnsi="Segoe UI"/>
                <w:sz w:val="18"/>
              </w:rPr>
              <w:t>+6.3%</w:t>
            </w:r>
          </w:p>
        </w:tc>
      </w:tr>
      <w:tr>
        <w:tc>
          <w:tcPr>
            <w:tcW w:type="dxa" w:w="1950"/>
            <w:tcMar>
              <w:top w:w="80" w:type="dxa"/>
              <w:bottom w:w="80" w:type="dxa"/>
              <w:left w:w="120" w:type="dxa"/>
              <w:right w:w="120" w:type="dxa"/>
            </w:tcMar>
          </w:tcPr>
          <w:p>
            <w:r>
              <w:rPr>
                <w:rFonts w:ascii="Segoe UI" w:hAnsi="Segoe UI"/>
                <w:sz w:val="18"/>
              </w:rPr>
              <w:t>R08</w:t>
            </w:r>
          </w:p>
        </w:tc>
        <w:tc>
          <w:tcPr>
            <w:tcW w:type="dxa" w:w="1950"/>
            <w:tcMar>
              <w:top w:w="80" w:type="dxa"/>
              <w:bottom w:w="80" w:type="dxa"/>
              <w:left w:w="120" w:type="dxa"/>
              <w:right w:w="120" w:type="dxa"/>
            </w:tcMar>
          </w:tcPr>
          <w:p>
            <w:r>
              <w:rPr>
                <w:rFonts w:ascii="Segoe UI" w:hAnsi="Segoe UI"/>
                <w:sz w:val="18"/>
              </w:rPr>
              <w:t>Inventory Days</w:t>
            </w:r>
          </w:p>
        </w:tc>
        <w:tc>
          <w:tcPr>
            <w:tcW w:type="dxa" w:w="1950"/>
            <w:tcMar>
              <w:top w:w="80" w:type="dxa"/>
              <w:bottom w:w="80" w:type="dxa"/>
              <w:left w:w="120" w:type="dxa"/>
              <w:right w:w="120" w:type="dxa"/>
            </w:tcMar>
            <w:shd w:fill="F1F5F9"/>
          </w:tcPr>
          <w:p>
            <w:pPr>
              <w:jc w:val="right"/>
            </w:pPr>
            <w:r>
              <w:rPr>
                <w:rFonts w:ascii="Segoe UI" w:hAnsi="Segoe UI"/>
                <w:sz w:val="18"/>
              </w:rPr>
              <w:t>126.01 days</w:t>
            </w:r>
          </w:p>
        </w:tc>
        <w:tc>
          <w:tcPr>
            <w:tcW w:type="dxa" w:w="1950"/>
            <w:tcMar>
              <w:top w:w="80" w:type="dxa"/>
              <w:bottom w:w="80" w:type="dxa"/>
              <w:left w:w="120" w:type="dxa"/>
              <w:right w:w="120" w:type="dxa"/>
            </w:tcMar>
            <w:shd w:fill="F1F5F9"/>
          </w:tcPr>
          <w:p>
            <w:pPr>
              <w:jc w:val="right"/>
            </w:pPr>
            <w:r>
              <w:rPr>
                <w:rFonts w:ascii="Segoe UI" w:hAnsi="Segoe UI"/>
                <w:sz w:val="18"/>
              </w:rPr>
              <w:t>125.14 days</w:t>
            </w:r>
          </w:p>
        </w:tc>
        <w:tc>
          <w:tcPr>
            <w:tcW w:type="dxa" w:w="1950"/>
            <w:tcMar>
              <w:top w:w="80" w:type="dxa"/>
              <w:bottom w:w="80" w:type="dxa"/>
              <w:left w:w="120" w:type="dxa"/>
              <w:right w:w="120" w:type="dxa"/>
            </w:tcMar>
          </w:tcPr>
          <w:p>
            <w:pPr>
              <w:jc w:val="right"/>
            </w:pPr>
            <w:r>
              <w:rPr>
                <w:rFonts w:ascii="Segoe UI" w:hAnsi="Segoe UI"/>
                <w:sz w:val="18"/>
              </w:rPr>
              <w:t>+0.7%</w:t>
            </w:r>
          </w:p>
        </w:tc>
      </w:tr>
    </w:tbl>
    <w:p>
      <w:r>
        <w:br w:type="page"/>
      </w:r>
    </w:p>
    <w:p>
      <w:pPr>
        <w:keepNext/>
        <w:spacing w:before="280" w:after="120"/>
      </w:pPr>
      <w:r>
        <w:rPr>
          <w:rFonts w:ascii="Segoe UI" w:hAnsi="Segoe UI"/>
          <w:b/>
          <w:color w:val="1B365D"/>
          <w:sz w:val="26"/>
        </w:rPr>
        <w:t>MANAGEMENT QUERIES &amp; AUDIT CLARIFICATIONS</w:t>
      </w:r>
    </w:p>
    <w:tbl>
      <w:tblPr>
        <w:tblW w:type="auto" w:w="0"/>
        <w:jc w:val="center"/>
        <w:tblLook w:firstColumn="1" w:firstRow="1" w:lastColumn="0" w:lastRow="0" w:noHBand="0" w:noVBand="1" w:val="04A0"/>
      </w:tblPr>
      <w:tblGrid>
        <w:gridCol w:w="2437"/>
        <w:gridCol w:w="2437"/>
        <w:gridCol w:w="2437"/>
        <w:gridCol w:w="2437"/>
      </w:tblGrid>
      <w:tr>
        <w:tc>
          <w:tcPr>
            <w:tcW w:type="dxa" w:w="2437"/>
            <w:shd w:fill="1B365D"/>
            <w:tcMar>
              <w:top w:w="120" w:type="dxa"/>
              <w:bottom w:w="120" w:type="dxa"/>
              <w:left w:w="150" w:type="dxa"/>
              <w:right w:w="150" w:type="dxa"/>
            </w:tcMar>
          </w:tcPr>
          <w:p>
            <w:pPr>
              <w:jc w:val="center"/>
            </w:pPr>
            <w:r>
              <w:t>#</w:t>
            </w:r>
          </w:p>
        </w:tc>
        <w:tc>
          <w:tcPr>
            <w:tcW w:type="dxa" w:w="2437"/>
            <w:shd w:fill="1B365D"/>
            <w:tcMar>
              <w:top w:w="120" w:type="dxa"/>
              <w:bottom w:w="120" w:type="dxa"/>
              <w:left w:w="150" w:type="dxa"/>
              <w:right w:w="150" w:type="dxa"/>
            </w:tcMar>
          </w:tcPr>
          <w:p>
            <w:pPr>
              <w:jc w:val="center"/>
            </w:pPr>
            <w:r>
              <w:t>Audit Query Topic</w:t>
            </w:r>
          </w:p>
        </w:tc>
        <w:tc>
          <w:tcPr>
            <w:tcW w:type="dxa" w:w="2437"/>
            <w:shd w:fill="1B365D"/>
            <w:tcMar>
              <w:top w:w="120" w:type="dxa"/>
              <w:bottom w:w="120" w:type="dxa"/>
              <w:left w:w="150" w:type="dxa"/>
              <w:right w:w="150" w:type="dxa"/>
            </w:tcMar>
          </w:tcPr>
          <w:p>
            <w:pPr>
              <w:jc w:val="center"/>
            </w:pPr>
            <w:r>
              <w:t>Management Response</w:t>
            </w:r>
          </w:p>
        </w:tc>
        <w:tc>
          <w:tcPr>
            <w:tcW w:type="dxa" w:w="2437"/>
            <w:shd w:fill="1B365D"/>
            <w:tcMar>
              <w:top w:w="120" w:type="dxa"/>
              <w:bottom w:w="120" w:type="dxa"/>
              <w:left w:w="150" w:type="dxa"/>
              <w:right w:w="150" w:type="dxa"/>
            </w:tcMar>
          </w:tcPr>
          <w:p>
            <w:pPr>
              <w:jc w:val="center"/>
            </w:pPr>
            <w:r>
              <w:t>Verification Status</w:t>
            </w:r>
          </w:p>
        </w:tc>
      </w:tr>
      <w:tr>
        <w:tc>
          <w:tcPr>
            <w:tcW w:type="dxa" w:w="2437"/>
            <w:tcMar>
              <w:top w:w="80" w:type="dxa"/>
              <w:bottom w:w="80" w:type="dxa"/>
              <w:left w:w="120" w:type="dxa"/>
              <w:right w:w="120" w:type="dxa"/>
            </w:tcMar>
          </w:tcPr>
          <w:p>
            <w:r>
              <w:rPr>
                <w:rFonts w:ascii="Segoe UI" w:hAnsi="Segoe UI"/>
                <w:sz w:val="18"/>
              </w:rPr>
              <w:t>1</w:t>
            </w:r>
          </w:p>
        </w:tc>
        <w:tc>
          <w:tcPr>
            <w:tcW w:type="dxa" w:w="2437"/>
            <w:tcMar>
              <w:top w:w="80" w:type="dxa"/>
              <w:bottom w:w="80" w:type="dxa"/>
              <w:left w:w="120" w:type="dxa"/>
              <w:right w:w="120" w:type="dxa"/>
            </w:tcMar>
          </w:tcPr>
          <w:p>
            <w:r>
              <w:rPr>
                <w:rFonts w:ascii="Segoe UI" w:hAnsi="Segoe UI"/>
                <w:sz w:val="18"/>
              </w:rPr>
              <w:t>Verification of physical stock count &amp; valuation</w:t>
            </w:r>
          </w:p>
        </w:tc>
        <w:tc>
          <w:tcPr>
            <w:tcW w:type="dxa" w:w="2437"/>
            <w:tcMar>
              <w:top w:w="80" w:type="dxa"/>
              <w:bottom w:w="80" w:type="dxa"/>
              <w:left w:w="120" w:type="dxa"/>
              <w:right w:w="120" w:type="dxa"/>
            </w:tcMar>
          </w:tcPr>
          <w:p>
            <w:r>
              <w:rPr>
                <w:rFonts w:ascii="Segoe UI" w:hAnsi="Segoe UI"/>
                <w:sz w:val="18"/>
              </w:rPr>
              <w:t>Physical count completed on 31-Mar-2025. Valued at lower of cost or NRV.</w:t>
            </w:r>
          </w:p>
        </w:tc>
        <w:tc>
          <w:tcPr>
            <w:tcW w:type="dxa" w:w="2437"/>
            <w:tcMar>
              <w:top w:w="80" w:type="dxa"/>
              <w:bottom w:w="80" w:type="dxa"/>
              <w:left w:w="120" w:type="dxa"/>
              <w:right w:w="120" w:type="dxa"/>
            </w:tcMar>
          </w:tcPr>
          <w:p>
            <w:r>
              <w:rPr>
                <w:rFonts w:ascii="Segoe UI" w:hAnsi="Segoe UI"/>
                <w:sz w:val="18"/>
              </w:rPr>
              <w:t>Verified</w:t>
            </w:r>
          </w:p>
        </w:tc>
      </w:tr>
      <w:tr>
        <w:tc>
          <w:tcPr>
            <w:tcW w:type="dxa" w:w="2437"/>
            <w:tcMar>
              <w:top w:w="80" w:type="dxa"/>
              <w:bottom w:w="80" w:type="dxa"/>
              <w:left w:w="120" w:type="dxa"/>
              <w:right w:w="120" w:type="dxa"/>
            </w:tcMar>
          </w:tcPr>
          <w:p>
            <w:r>
              <w:rPr>
                <w:rFonts w:ascii="Segoe UI" w:hAnsi="Segoe UI"/>
                <w:sz w:val="18"/>
              </w:rPr>
              <w:t>2</w:t>
            </w:r>
          </w:p>
        </w:tc>
        <w:tc>
          <w:tcPr>
            <w:tcW w:type="dxa" w:w="2437"/>
            <w:tcMar>
              <w:top w:w="80" w:type="dxa"/>
              <w:bottom w:w="80" w:type="dxa"/>
              <w:left w:w="120" w:type="dxa"/>
              <w:right w:w="120" w:type="dxa"/>
            </w:tcMar>
          </w:tcPr>
          <w:p>
            <w:r>
              <w:rPr>
                <w:rFonts w:ascii="Segoe UI" w:hAnsi="Segoe UI"/>
                <w:sz w:val="18"/>
              </w:rPr>
              <w:t>Confirmation of balances for Trade Receivables &gt; 180 days</w:t>
            </w:r>
          </w:p>
        </w:tc>
        <w:tc>
          <w:tcPr>
            <w:tcW w:type="dxa" w:w="2437"/>
            <w:tcMar>
              <w:top w:w="80" w:type="dxa"/>
              <w:bottom w:w="80" w:type="dxa"/>
              <w:left w:w="120" w:type="dxa"/>
              <w:right w:w="120" w:type="dxa"/>
            </w:tcMar>
          </w:tcPr>
          <w:p>
            <w:r>
              <w:rPr>
                <w:rFonts w:ascii="Segoe UI" w:hAnsi="Segoe UI"/>
                <w:sz w:val="18"/>
              </w:rPr>
              <w:t>Direct balance confirmations received for 85% of outstanding amount.</w:t>
            </w:r>
          </w:p>
        </w:tc>
        <w:tc>
          <w:tcPr>
            <w:tcW w:type="dxa" w:w="2437"/>
            <w:tcMar>
              <w:top w:w="80" w:type="dxa"/>
              <w:bottom w:w="80" w:type="dxa"/>
              <w:left w:w="120" w:type="dxa"/>
              <w:right w:w="120" w:type="dxa"/>
            </w:tcMar>
          </w:tcPr>
          <w:p>
            <w:r>
              <w:rPr>
                <w:rFonts w:ascii="Segoe UI" w:hAnsi="Segoe UI"/>
                <w:sz w:val="18"/>
              </w:rPr>
              <w:t>Verified</w:t>
            </w:r>
          </w:p>
        </w:tc>
      </w:tr>
      <w:tr>
        <w:tc>
          <w:tcPr>
            <w:tcW w:type="dxa" w:w="2437"/>
            <w:tcMar>
              <w:top w:w="80" w:type="dxa"/>
              <w:bottom w:w="80" w:type="dxa"/>
              <w:left w:w="120" w:type="dxa"/>
              <w:right w:w="120" w:type="dxa"/>
            </w:tcMar>
          </w:tcPr>
          <w:p>
            <w:r>
              <w:rPr>
                <w:rFonts w:ascii="Segoe UI" w:hAnsi="Segoe UI"/>
                <w:sz w:val="18"/>
              </w:rPr>
              <w:t>3</w:t>
            </w:r>
          </w:p>
        </w:tc>
        <w:tc>
          <w:tcPr>
            <w:tcW w:type="dxa" w:w="2437"/>
            <w:tcMar>
              <w:top w:w="80" w:type="dxa"/>
              <w:bottom w:w="80" w:type="dxa"/>
              <w:left w:w="120" w:type="dxa"/>
              <w:right w:w="120" w:type="dxa"/>
            </w:tcMar>
          </w:tcPr>
          <w:p>
            <w:r>
              <w:rPr>
                <w:rFonts w:ascii="Segoe UI" w:hAnsi="Segoe UI"/>
                <w:sz w:val="18"/>
              </w:rPr>
              <w:t>Income tax paid and pending appellate disputes</w:t>
            </w:r>
          </w:p>
        </w:tc>
        <w:tc>
          <w:tcPr>
            <w:tcW w:type="dxa" w:w="2437"/>
            <w:tcMar>
              <w:top w:w="80" w:type="dxa"/>
              <w:bottom w:w="80" w:type="dxa"/>
              <w:left w:w="120" w:type="dxa"/>
              <w:right w:w="120" w:type="dxa"/>
            </w:tcMar>
          </w:tcPr>
          <w:p>
            <w:r>
              <w:rPr>
                <w:rFonts w:ascii="Segoe UI" w:hAnsi="Segoe UI"/>
                <w:sz w:val="18"/>
              </w:rPr>
              <w:t>Tax paid verified with Challan 280. Appeal pending with CIT(A).</w:t>
            </w:r>
          </w:p>
        </w:tc>
        <w:tc>
          <w:tcPr>
            <w:tcW w:type="dxa" w:w="2437"/>
            <w:tcMar>
              <w:top w:w="80" w:type="dxa"/>
              <w:bottom w:w="80" w:type="dxa"/>
              <w:left w:w="120" w:type="dxa"/>
              <w:right w:w="120" w:type="dxa"/>
            </w:tcMar>
          </w:tcPr>
          <w:p>
            <w:r>
              <w:rPr>
                <w:rFonts w:ascii="Segoe UI" w:hAnsi="Segoe UI"/>
                <w:sz w:val="18"/>
              </w:rPr>
              <w:t>Verified</w:t>
            </w:r>
          </w:p>
        </w:tc>
      </w:tr>
    </w:tbl>
    <w:p>
      <w:r>
        <w:br w:type="page"/>
      </w:r>
    </w:p>
    <w:p>
      <w:pPr>
        <w:keepNext/>
        <w:spacing w:before="280" w:after="120"/>
      </w:pPr>
      <w:r>
        <w:rPr>
          <w:rFonts w:ascii="Segoe UI" w:hAnsi="Segoe UI"/>
          <w:b/>
          <w:color w:val="1B365D"/>
          <w:sz w:val="26"/>
        </w:rPr>
        <w:t>AUTOMATED VALIDATION EXCEPTIONS LOG</w:t>
      </w:r>
    </w:p>
    <w:tbl>
      <w:tblPr>
        <w:tblW w:type="auto" w:w="0"/>
        <w:jc w:val="center"/>
        <w:tblLook w:firstColumn="1" w:firstRow="1" w:lastColumn="0" w:lastRow="0" w:noHBand="0" w:noVBand="1" w:val="04A0"/>
      </w:tblPr>
      <w:tblGrid>
        <w:gridCol w:w="2437"/>
        <w:gridCol w:w="2437"/>
        <w:gridCol w:w="2437"/>
        <w:gridCol w:w="2437"/>
      </w:tblGrid>
      <w:tr>
        <w:tc>
          <w:tcPr>
            <w:tcW w:type="dxa" w:w="2437"/>
            <w:shd w:fill="1B365D"/>
            <w:tcMar>
              <w:top w:w="120" w:type="dxa"/>
              <w:bottom w:w="120" w:type="dxa"/>
              <w:left w:w="150" w:type="dxa"/>
              <w:right w:w="150" w:type="dxa"/>
            </w:tcMar>
          </w:tcPr>
          <w:p>
            <w:pPr>
              <w:jc w:val="center"/>
            </w:pPr>
            <w:r>
              <w:t>Rule Code</w:t>
            </w:r>
          </w:p>
        </w:tc>
        <w:tc>
          <w:tcPr>
            <w:tcW w:type="dxa" w:w="2437"/>
            <w:shd w:fill="1B365D"/>
            <w:tcMar>
              <w:top w:w="120" w:type="dxa"/>
              <w:bottom w:w="120" w:type="dxa"/>
              <w:left w:w="150" w:type="dxa"/>
              <w:right w:w="150" w:type="dxa"/>
            </w:tcMar>
          </w:tcPr>
          <w:p>
            <w:pPr>
              <w:jc w:val="center"/>
            </w:pPr>
            <w:r>
              <w:t>Check Name</w:t>
            </w:r>
          </w:p>
        </w:tc>
        <w:tc>
          <w:tcPr>
            <w:tcW w:type="dxa" w:w="2437"/>
            <w:shd w:fill="1B365D"/>
            <w:tcMar>
              <w:top w:w="120" w:type="dxa"/>
              <w:bottom w:w="120" w:type="dxa"/>
              <w:left w:w="150" w:type="dxa"/>
              <w:right w:w="150" w:type="dxa"/>
            </w:tcMar>
          </w:tcPr>
          <w:p>
            <w:pPr>
              <w:jc w:val="center"/>
            </w:pPr>
            <w:r>
              <w:t>Status</w:t>
            </w:r>
          </w:p>
        </w:tc>
        <w:tc>
          <w:tcPr>
            <w:tcW w:type="dxa" w:w="2437"/>
            <w:shd w:fill="1B365D"/>
            <w:tcMar>
              <w:top w:w="120" w:type="dxa"/>
              <w:bottom w:w="120" w:type="dxa"/>
              <w:left w:w="150" w:type="dxa"/>
              <w:right w:w="150" w:type="dxa"/>
            </w:tcMar>
          </w:tcPr>
          <w:p>
            <w:pPr>
              <w:jc w:val="center"/>
            </w:pPr>
            <w:r>
              <w:t>Audit Findings &amp; Remarks</w:t>
            </w:r>
          </w:p>
        </w:tc>
      </w:tr>
      <w:tr>
        <w:tc>
          <w:tcPr>
            <w:tcW w:type="dxa" w:w="2437"/>
            <w:tcMar>
              <w:top w:w="80" w:type="dxa"/>
              <w:bottom w:w="80" w:type="dxa"/>
              <w:left w:w="120" w:type="dxa"/>
              <w:right w:w="120" w:type="dxa"/>
            </w:tcMar>
          </w:tcPr>
          <w:p>
            <w:r>
              <w:rPr>
                <w:rFonts w:ascii="Segoe UI" w:hAnsi="Segoe UI"/>
                <w:sz w:val="18"/>
              </w:rPr>
              <w:t>V01</w:t>
            </w:r>
          </w:p>
        </w:tc>
        <w:tc>
          <w:tcPr>
            <w:tcW w:type="dxa" w:w="2437"/>
            <w:tcMar>
              <w:top w:w="80" w:type="dxa"/>
              <w:bottom w:w="80" w:type="dxa"/>
              <w:left w:w="120" w:type="dxa"/>
              <w:right w:w="120" w:type="dxa"/>
            </w:tcMar>
          </w:tcPr>
          <w:p>
            <w:r>
              <w:rPr>
                <w:rFonts w:ascii="Segoe UI" w:hAnsi="Segoe UI"/>
                <w:sz w:val="18"/>
              </w:rPr>
              <w:t>Required Upload Columns Present</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All mandatory Trial Balance columns identified successfully.</w:t>
            </w:r>
          </w:p>
        </w:tc>
      </w:tr>
      <w:tr>
        <w:tc>
          <w:tcPr>
            <w:tcW w:type="dxa" w:w="2437"/>
            <w:tcMar>
              <w:top w:w="80" w:type="dxa"/>
              <w:bottom w:w="80" w:type="dxa"/>
              <w:left w:w="120" w:type="dxa"/>
              <w:right w:w="120" w:type="dxa"/>
            </w:tcMar>
          </w:tcPr>
          <w:p>
            <w:r>
              <w:rPr>
                <w:rFonts w:ascii="Segoe UI" w:hAnsi="Segoe UI"/>
                <w:sz w:val="18"/>
              </w:rPr>
              <w:t>V02</w:t>
            </w:r>
          </w:p>
        </w:tc>
        <w:tc>
          <w:tcPr>
            <w:tcW w:type="dxa" w:w="2437"/>
            <w:tcMar>
              <w:top w:w="80" w:type="dxa"/>
              <w:bottom w:w="80" w:type="dxa"/>
              <w:left w:w="120" w:type="dxa"/>
              <w:right w:w="120" w:type="dxa"/>
            </w:tcMar>
          </w:tcPr>
          <w:p>
            <w:r>
              <w:rPr>
                <w:rFonts w:ascii="Segoe UI" w:hAnsi="Segoe UI"/>
                <w:sz w:val="18"/>
              </w:rPr>
              <w:t>Blank Ledger Names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blank ledger names found in Trial Balance.</w:t>
            </w:r>
          </w:p>
        </w:tc>
      </w:tr>
      <w:tr>
        <w:tc>
          <w:tcPr>
            <w:tcW w:type="dxa" w:w="2437"/>
            <w:tcMar>
              <w:top w:w="80" w:type="dxa"/>
              <w:bottom w:w="80" w:type="dxa"/>
              <w:left w:w="120" w:type="dxa"/>
              <w:right w:w="120" w:type="dxa"/>
            </w:tcMar>
          </w:tcPr>
          <w:p>
            <w:r>
              <w:rPr>
                <w:rFonts w:ascii="Segoe UI" w:hAnsi="Segoe UI"/>
                <w:sz w:val="18"/>
              </w:rPr>
              <w:t>V03</w:t>
            </w:r>
          </w:p>
        </w:tc>
        <w:tc>
          <w:tcPr>
            <w:tcW w:type="dxa" w:w="2437"/>
            <w:tcMar>
              <w:top w:w="80" w:type="dxa"/>
              <w:bottom w:w="80" w:type="dxa"/>
              <w:left w:w="120" w:type="dxa"/>
              <w:right w:w="120" w:type="dxa"/>
            </w:tcMar>
          </w:tcPr>
          <w:p>
            <w:r>
              <w:rPr>
                <w:rFonts w:ascii="Segoe UI" w:hAnsi="Segoe UI"/>
                <w:sz w:val="18"/>
              </w:rPr>
              <w:t>Unmapped / Fallback Ledgers</w:t>
            </w:r>
          </w:p>
        </w:tc>
        <w:tc>
          <w:tcPr>
            <w:tcW w:type="dxa" w:w="2437"/>
            <w:tcMar>
              <w:top w:w="80" w:type="dxa"/>
              <w:bottom w:w="80" w:type="dxa"/>
              <w:left w:w="120" w:type="dxa"/>
              <w:right w:w="120" w:type="dxa"/>
            </w:tcMar>
          </w:tcPr>
          <w:p>
            <w:r>
              <w:rPr>
                <w:rFonts w:ascii="Segoe UI" w:hAnsi="Segoe UI"/>
                <w:sz w:val="18"/>
              </w:rPr>
              <w:t>Warning</w:t>
            </w:r>
          </w:p>
        </w:tc>
        <w:tc>
          <w:tcPr>
            <w:tcW w:type="dxa" w:w="2437"/>
            <w:tcMar>
              <w:top w:w="80" w:type="dxa"/>
              <w:bottom w:w="80" w:type="dxa"/>
              <w:left w:w="120" w:type="dxa"/>
              <w:right w:w="120" w:type="dxa"/>
            </w:tcMar>
          </w:tcPr>
          <w:p>
            <w:r>
              <w:rPr>
                <w:rFonts w:ascii="Segoe UI" w:hAnsi="Segoe UI"/>
                <w:sz w:val="18"/>
              </w:rPr>
              <w:t>1 ledgers mapped to default fallback.</w:t>
            </w:r>
          </w:p>
        </w:tc>
      </w:tr>
      <w:tr>
        <w:tc>
          <w:tcPr>
            <w:tcW w:type="dxa" w:w="2437"/>
            <w:tcMar>
              <w:top w:w="80" w:type="dxa"/>
              <w:bottom w:w="80" w:type="dxa"/>
              <w:left w:w="120" w:type="dxa"/>
              <w:right w:w="120" w:type="dxa"/>
            </w:tcMar>
          </w:tcPr>
          <w:p>
            <w:r>
              <w:rPr>
                <w:rFonts w:ascii="Segoe UI" w:hAnsi="Segoe UI"/>
                <w:sz w:val="18"/>
              </w:rPr>
              <w:t>V04</w:t>
            </w:r>
          </w:p>
        </w:tc>
        <w:tc>
          <w:tcPr>
            <w:tcW w:type="dxa" w:w="2437"/>
            <w:tcMar>
              <w:top w:w="80" w:type="dxa"/>
              <w:bottom w:w="80" w:type="dxa"/>
              <w:left w:w="120" w:type="dxa"/>
              <w:right w:w="120" w:type="dxa"/>
            </w:tcMar>
          </w:tcPr>
          <w:p>
            <w:r>
              <w:rPr>
                <w:rFonts w:ascii="Segoe UI" w:hAnsi="Segoe UI"/>
                <w:sz w:val="18"/>
              </w:rPr>
              <w:t>Balance Sheet Tally Check</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Total Equity &amp; Liabilities equals Total Assets.</w:t>
            </w:r>
          </w:p>
        </w:tc>
      </w:tr>
      <w:tr>
        <w:tc>
          <w:tcPr>
            <w:tcW w:type="dxa" w:w="2437"/>
            <w:tcMar>
              <w:top w:w="80" w:type="dxa"/>
              <w:bottom w:w="80" w:type="dxa"/>
              <w:left w:w="120" w:type="dxa"/>
              <w:right w:w="120" w:type="dxa"/>
            </w:tcMar>
          </w:tcPr>
          <w:p>
            <w:r>
              <w:rPr>
                <w:rFonts w:ascii="Segoe UI" w:hAnsi="Segoe UI"/>
                <w:sz w:val="18"/>
              </w:rPr>
              <w:t>V05</w:t>
            </w:r>
          </w:p>
        </w:tc>
        <w:tc>
          <w:tcPr>
            <w:tcW w:type="dxa" w:w="2437"/>
            <w:tcMar>
              <w:top w:w="80" w:type="dxa"/>
              <w:bottom w:w="80" w:type="dxa"/>
              <w:left w:w="120" w:type="dxa"/>
              <w:right w:w="120" w:type="dxa"/>
            </w:tcMar>
          </w:tcPr>
          <w:p>
            <w:r>
              <w:rPr>
                <w:rFonts w:ascii="Segoe UI" w:hAnsi="Segoe UI"/>
                <w:sz w:val="18"/>
              </w:rPr>
              <w:t>Balance Sheet Note Numbers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All Balance Sheet line items have note references assigned.</w:t>
            </w:r>
          </w:p>
        </w:tc>
      </w:tr>
      <w:tr>
        <w:tc>
          <w:tcPr>
            <w:tcW w:type="dxa" w:w="2437"/>
            <w:tcMar>
              <w:top w:w="80" w:type="dxa"/>
              <w:bottom w:w="80" w:type="dxa"/>
              <w:left w:w="120" w:type="dxa"/>
              <w:right w:w="120" w:type="dxa"/>
            </w:tcMar>
          </w:tcPr>
          <w:p>
            <w:r>
              <w:rPr>
                <w:rFonts w:ascii="Segoe UI" w:hAnsi="Segoe UI"/>
                <w:sz w:val="18"/>
              </w:rPr>
              <w:t>V06</w:t>
            </w:r>
          </w:p>
        </w:tc>
        <w:tc>
          <w:tcPr>
            <w:tcW w:type="dxa" w:w="2437"/>
            <w:tcMar>
              <w:top w:w="80" w:type="dxa"/>
              <w:bottom w:w="80" w:type="dxa"/>
              <w:left w:w="120" w:type="dxa"/>
              <w:right w:w="120" w:type="dxa"/>
            </w:tcMar>
          </w:tcPr>
          <w:p>
            <w:r>
              <w:rPr>
                <w:rFonts w:ascii="Segoe UI" w:hAnsi="Segoe UI"/>
                <w:sz w:val="18"/>
              </w:rPr>
              <w:t>Profit &amp; Loss Note Numbers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All P&amp;L line items have note references assigned.</w:t>
            </w:r>
          </w:p>
        </w:tc>
      </w:tr>
      <w:tr>
        <w:tc>
          <w:tcPr>
            <w:tcW w:type="dxa" w:w="2437"/>
            <w:tcMar>
              <w:top w:w="80" w:type="dxa"/>
              <w:bottom w:w="80" w:type="dxa"/>
              <w:left w:w="120" w:type="dxa"/>
              <w:right w:w="120" w:type="dxa"/>
            </w:tcMar>
          </w:tcPr>
          <w:p>
            <w:r>
              <w:rPr>
                <w:rFonts w:ascii="Segoe UI" w:hAnsi="Segoe UI"/>
                <w:sz w:val="18"/>
              </w:rPr>
              <w:t>V07</w:t>
            </w:r>
          </w:p>
        </w:tc>
        <w:tc>
          <w:tcPr>
            <w:tcW w:type="dxa" w:w="2437"/>
            <w:tcMar>
              <w:top w:w="80" w:type="dxa"/>
              <w:bottom w:w="80" w:type="dxa"/>
              <w:left w:w="120" w:type="dxa"/>
              <w:right w:w="120" w:type="dxa"/>
            </w:tcMar>
          </w:tcPr>
          <w:p>
            <w:r>
              <w:rPr>
                <w:rFonts w:ascii="Segoe UI" w:hAnsi="Segoe UI"/>
                <w:sz w:val="18"/>
              </w:rPr>
              <w:t>Previous Year Comparatives Available</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Previous year comparative figures are populated.</w:t>
            </w:r>
          </w:p>
        </w:tc>
      </w:tr>
      <w:tr>
        <w:tc>
          <w:tcPr>
            <w:tcW w:type="dxa" w:w="2437"/>
            <w:tcMar>
              <w:top w:w="80" w:type="dxa"/>
              <w:bottom w:w="80" w:type="dxa"/>
              <w:left w:w="120" w:type="dxa"/>
              <w:right w:w="120" w:type="dxa"/>
            </w:tcMar>
          </w:tcPr>
          <w:p>
            <w:r>
              <w:rPr>
                <w:rFonts w:ascii="Segoe UI" w:hAnsi="Segoe UI"/>
                <w:sz w:val="18"/>
              </w:rPr>
              <w:t>V08</w:t>
            </w:r>
          </w:p>
        </w:tc>
        <w:tc>
          <w:tcPr>
            <w:tcW w:type="dxa" w:w="2437"/>
            <w:tcMar>
              <w:top w:w="80" w:type="dxa"/>
              <w:bottom w:w="80" w:type="dxa"/>
              <w:left w:w="120" w:type="dxa"/>
              <w:right w:w="120" w:type="dxa"/>
            </w:tcMar>
          </w:tcPr>
          <w:p>
            <w:r>
              <w:rPr>
                <w:rFonts w:ascii="Segoe UI" w:hAnsi="Segoe UI"/>
                <w:sz w:val="18"/>
              </w:rPr>
              <w:t>AR Ageing Schedule Reconciliation</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AR Ageing schedule uploaded and linked.</w:t>
            </w:r>
          </w:p>
        </w:tc>
      </w:tr>
      <w:tr>
        <w:tc>
          <w:tcPr>
            <w:tcW w:type="dxa" w:w="2437"/>
            <w:tcMar>
              <w:top w:w="80" w:type="dxa"/>
              <w:bottom w:w="80" w:type="dxa"/>
              <w:left w:w="120" w:type="dxa"/>
              <w:right w:w="120" w:type="dxa"/>
            </w:tcMar>
          </w:tcPr>
          <w:p>
            <w:r>
              <w:rPr>
                <w:rFonts w:ascii="Segoe UI" w:hAnsi="Segoe UI"/>
                <w:sz w:val="18"/>
              </w:rPr>
              <w:t>V09</w:t>
            </w:r>
          </w:p>
        </w:tc>
        <w:tc>
          <w:tcPr>
            <w:tcW w:type="dxa" w:w="2437"/>
            <w:tcMar>
              <w:top w:w="80" w:type="dxa"/>
              <w:bottom w:w="80" w:type="dxa"/>
              <w:left w:w="120" w:type="dxa"/>
              <w:right w:w="120" w:type="dxa"/>
            </w:tcMar>
          </w:tcPr>
          <w:p>
            <w:r>
              <w:rPr>
                <w:rFonts w:ascii="Segoe UI" w:hAnsi="Segoe UI"/>
                <w:sz w:val="18"/>
              </w:rPr>
              <w:t>AP Ageing Schedule Reconciliation</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AP Ageing schedule uploaded and linked.</w:t>
            </w:r>
          </w:p>
        </w:tc>
      </w:tr>
      <w:tr>
        <w:tc>
          <w:tcPr>
            <w:tcW w:type="dxa" w:w="2437"/>
            <w:tcMar>
              <w:top w:w="80" w:type="dxa"/>
              <w:bottom w:w="80" w:type="dxa"/>
              <w:left w:w="120" w:type="dxa"/>
              <w:right w:w="120" w:type="dxa"/>
            </w:tcMar>
          </w:tcPr>
          <w:p>
            <w:r>
              <w:rPr>
                <w:rFonts w:ascii="Segoe UI" w:hAnsi="Segoe UI"/>
                <w:sz w:val="18"/>
              </w:rPr>
              <w:t>V10</w:t>
            </w:r>
          </w:p>
        </w:tc>
        <w:tc>
          <w:tcPr>
            <w:tcW w:type="dxa" w:w="2437"/>
            <w:tcMar>
              <w:top w:w="80" w:type="dxa"/>
              <w:bottom w:w="80" w:type="dxa"/>
              <w:left w:w="120" w:type="dxa"/>
              <w:right w:w="120" w:type="dxa"/>
            </w:tcMar>
          </w:tcPr>
          <w:p>
            <w:r>
              <w:rPr>
                <w:rFonts w:ascii="Segoe UI" w:hAnsi="Segoe UI"/>
                <w:sz w:val="18"/>
              </w:rPr>
              <w:t>CWIP Ageing Schedule Reconciliation</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CWIP Ageing schedule uploaded and linked.</w:t>
            </w:r>
          </w:p>
        </w:tc>
      </w:tr>
      <w:tr>
        <w:tc>
          <w:tcPr>
            <w:tcW w:type="dxa" w:w="2437"/>
            <w:tcMar>
              <w:top w:w="80" w:type="dxa"/>
              <w:bottom w:w="80" w:type="dxa"/>
              <w:left w:w="120" w:type="dxa"/>
              <w:right w:w="120" w:type="dxa"/>
            </w:tcMar>
          </w:tcPr>
          <w:p>
            <w:r>
              <w:rPr>
                <w:rFonts w:ascii="Segoe UI" w:hAnsi="Segoe UI"/>
                <w:sz w:val="18"/>
              </w:rPr>
              <w:t>V11</w:t>
            </w:r>
          </w:p>
        </w:tc>
        <w:tc>
          <w:tcPr>
            <w:tcW w:type="dxa" w:w="2437"/>
            <w:tcMar>
              <w:top w:w="80" w:type="dxa"/>
              <w:bottom w:w="80" w:type="dxa"/>
              <w:left w:w="120" w:type="dxa"/>
              <w:right w:w="120" w:type="dxa"/>
            </w:tcMar>
          </w:tcPr>
          <w:p>
            <w:r>
              <w:rPr>
                <w:rFonts w:ascii="Segoe UI" w:hAnsi="Segoe UI"/>
                <w:sz w:val="18"/>
              </w:rPr>
              <w:t>Related Party Schedule Uploaded</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Related Party schedule uploaded.</w:t>
            </w:r>
          </w:p>
        </w:tc>
      </w:tr>
      <w:tr>
        <w:tc>
          <w:tcPr>
            <w:tcW w:type="dxa" w:w="2437"/>
            <w:tcMar>
              <w:top w:w="80" w:type="dxa"/>
              <w:bottom w:w="80" w:type="dxa"/>
              <w:left w:w="120" w:type="dxa"/>
              <w:right w:w="120" w:type="dxa"/>
            </w:tcMar>
          </w:tcPr>
          <w:p>
            <w:r>
              <w:rPr>
                <w:rFonts w:ascii="Segoe UI" w:hAnsi="Segoe UI"/>
                <w:sz w:val="18"/>
              </w:rPr>
              <w:t>V12</w:t>
            </w:r>
          </w:p>
        </w:tc>
        <w:tc>
          <w:tcPr>
            <w:tcW w:type="dxa" w:w="2437"/>
            <w:tcMar>
              <w:top w:w="80" w:type="dxa"/>
              <w:bottom w:w="80" w:type="dxa"/>
              <w:left w:w="120" w:type="dxa"/>
              <w:right w:w="120" w:type="dxa"/>
            </w:tcMar>
          </w:tcPr>
          <w:p>
            <w:r>
              <w:rPr>
                <w:rFonts w:ascii="Segoe UI" w:hAnsi="Segoe UI"/>
                <w:sz w:val="18"/>
              </w:rPr>
              <w:t>Borrowings Schedule Reconciliation</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Borrowings schedule uploaded and reconciled.</w:t>
            </w:r>
          </w:p>
        </w:tc>
      </w:tr>
      <w:tr>
        <w:tc>
          <w:tcPr>
            <w:tcW w:type="dxa" w:w="2437"/>
            <w:tcMar>
              <w:top w:w="80" w:type="dxa"/>
              <w:bottom w:w="80" w:type="dxa"/>
              <w:left w:w="120" w:type="dxa"/>
              <w:right w:w="120" w:type="dxa"/>
            </w:tcMar>
          </w:tcPr>
          <w:p>
            <w:r>
              <w:rPr>
                <w:rFonts w:ascii="Segoe UI" w:hAnsi="Segoe UI"/>
                <w:sz w:val="18"/>
              </w:rPr>
              <w:t>V13</w:t>
            </w:r>
          </w:p>
        </w:tc>
        <w:tc>
          <w:tcPr>
            <w:tcW w:type="dxa" w:w="2437"/>
            <w:tcMar>
              <w:top w:w="80" w:type="dxa"/>
              <w:bottom w:w="80" w:type="dxa"/>
              <w:left w:w="120" w:type="dxa"/>
              <w:right w:w="120" w:type="dxa"/>
            </w:tcMar>
          </w:tcPr>
          <w:p>
            <w:r>
              <w:rPr>
                <w:rFonts w:ascii="Segoe UI" w:hAnsi="Segoe UI"/>
                <w:sz w:val="18"/>
              </w:rPr>
              <w:t>Negative Cash or Bank Balance</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Cash and bank balances are positive.</w:t>
            </w:r>
          </w:p>
        </w:tc>
      </w:tr>
      <w:tr>
        <w:tc>
          <w:tcPr>
            <w:tcW w:type="dxa" w:w="2437"/>
            <w:tcMar>
              <w:top w:w="80" w:type="dxa"/>
              <w:bottom w:w="80" w:type="dxa"/>
              <w:left w:w="120" w:type="dxa"/>
              <w:right w:w="120" w:type="dxa"/>
            </w:tcMar>
          </w:tcPr>
          <w:p>
            <w:r>
              <w:rPr>
                <w:rFonts w:ascii="Segoe UI" w:hAnsi="Segoe UI"/>
                <w:sz w:val="18"/>
              </w:rPr>
              <w:t>V14</w:t>
            </w:r>
          </w:p>
        </w:tc>
        <w:tc>
          <w:tcPr>
            <w:tcW w:type="dxa" w:w="2437"/>
            <w:tcMar>
              <w:top w:w="80" w:type="dxa"/>
              <w:bottom w:w="80" w:type="dxa"/>
              <w:left w:w="120" w:type="dxa"/>
              <w:right w:w="120" w:type="dxa"/>
            </w:tcMar>
          </w:tcPr>
          <w:p>
            <w:r>
              <w:rPr>
                <w:rFonts w:ascii="Segoe UI" w:hAnsi="Segoe UI"/>
                <w:sz w:val="18"/>
              </w:rPr>
              <w:t>Current Working Capital Deficit</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Current Assets exceed Current Liabilities.</w:t>
            </w:r>
          </w:p>
        </w:tc>
      </w:tr>
      <w:tr>
        <w:tc>
          <w:tcPr>
            <w:tcW w:type="dxa" w:w="2437"/>
            <w:tcMar>
              <w:top w:w="80" w:type="dxa"/>
              <w:bottom w:w="80" w:type="dxa"/>
              <w:left w:w="120" w:type="dxa"/>
              <w:right w:w="120" w:type="dxa"/>
            </w:tcMar>
          </w:tcPr>
          <w:p>
            <w:r>
              <w:rPr>
                <w:rFonts w:ascii="Segoe UI" w:hAnsi="Segoe UI"/>
                <w:sz w:val="18"/>
              </w:rPr>
              <w:t>V15</w:t>
            </w:r>
          </w:p>
        </w:tc>
        <w:tc>
          <w:tcPr>
            <w:tcW w:type="dxa" w:w="2437"/>
            <w:tcMar>
              <w:top w:w="80" w:type="dxa"/>
              <w:bottom w:w="80" w:type="dxa"/>
              <w:left w:w="120" w:type="dxa"/>
              <w:right w:w="120" w:type="dxa"/>
            </w:tcMar>
          </w:tcPr>
          <w:p>
            <w:r>
              <w:rPr>
                <w:rFonts w:ascii="Segoe UI" w:hAnsi="Segoe UI"/>
                <w:sz w:val="18"/>
              </w:rPr>
              <w:t>Debt Equity Ratio Limit (&gt; 2.0)</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Debt Equity Ratio is within 2.0 ceiling.</w:t>
            </w:r>
          </w:p>
        </w:tc>
      </w:tr>
      <w:tr>
        <w:tc>
          <w:tcPr>
            <w:tcW w:type="dxa" w:w="2437"/>
            <w:tcMar>
              <w:top w:w="80" w:type="dxa"/>
              <w:bottom w:w="80" w:type="dxa"/>
              <w:left w:w="120" w:type="dxa"/>
              <w:right w:w="120" w:type="dxa"/>
            </w:tcMar>
          </w:tcPr>
          <w:p>
            <w:r>
              <w:rPr>
                <w:rFonts w:ascii="Segoe UI" w:hAnsi="Segoe UI"/>
                <w:sz w:val="18"/>
              </w:rPr>
              <w:t>V16</w:t>
            </w:r>
          </w:p>
        </w:tc>
        <w:tc>
          <w:tcPr>
            <w:tcW w:type="dxa" w:w="2437"/>
            <w:tcMar>
              <w:top w:w="80" w:type="dxa"/>
              <w:bottom w:w="80" w:type="dxa"/>
              <w:left w:w="120" w:type="dxa"/>
              <w:right w:w="120" w:type="dxa"/>
            </w:tcMar>
          </w:tcPr>
          <w:p>
            <w:r>
              <w:rPr>
                <w:rFonts w:ascii="Segoe UI" w:hAnsi="Segoe UI"/>
                <w:sz w:val="18"/>
              </w:rPr>
              <w:t>Receivable Growth vs Revenue Growth</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Receivable growth is in tandem with revenue trajectory.</w:t>
            </w:r>
          </w:p>
        </w:tc>
      </w:tr>
      <w:tr>
        <w:tc>
          <w:tcPr>
            <w:tcW w:type="dxa" w:w="2437"/>
            <w:tcMar>
              <w:top w:w="80" w:type="dxa"/>
              <w:bottom w:w="80" w:type="dxa"/>
              <w:left w:w="120" w:type="dxa"/>
              <w:right w:w="120" w:type="dxa"/>
            </w:tcMar>
          </w:tcPr>
          <w:p>
            <w:r>
              <w:rPr>
                <w:rFonts w:ascii="Segoe UI" w:hAnsi="Segoe UI"/>
                <w:sz w:val="18"/>
              </w:rPr>
              <w:t>V17</w:t>
            </w:r>
          </w:p>
        </w:tc>
        <w:tc>
          <w:tcPr>
            <w:tcW w:type="dxa" w:w="2437"/>
            <w:tcMar>
              <w:top w:w="80" w:type="dxa"/>
              <w:bottom w:w="80" w:type="dxa"/>
              <w:left w:w="120" w:type="dxa"/>
              <w:right w:w="120" w:type="dxa"/>
            </w:tcMar>
          </w:tcPr>
          <w:p>
            <w:r>
              <w:rPr>
                <w:rFonts w:ascii="Segoe UI" w:hAnsi="Segoe UI"/>
                <w:sz w:val="18"/>
              </w:rPr>
              <w:t>CWIP Projects Older Than 2 Years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CWIP projects pending for over 2 years.</w:t>
            </w:r>
          </w:p>
        </w:tc>
      </w:tr>
      <w:tr>
        <w:tc>
          <w:tcPr>
            <w:tcW w:type="dxa" w:w="2437"/>
            <w:tcMar>
              <w:top w:w="80" w:type="dxa"/>
              <w:bottom w:w="80" w:type="dxa"/>
              <w:left w:w="120" w:type="dxa"/>
              <w:right w:w="120" w:type="dxa"/>
            </w:tcMar>
          </w:tcPr>
          <w:p>
            <w:r>
              <w:rPr>
                <w:rFonts w:ascii="Segoe UI" w:hAnsi="Segoe UI"/>
                <w:sz w:val="18"/>
              </w:rPr>
              <w:t>V18</w:t>
            </w:r>
          </w:p>
        </w:tc>
        <w:tc>
          <w:tcPr>
            <w:tcW w:type="dxa" w:w="2437"/>
            <w:tcMar>
              <w:top w:w="80" w:type="dxa"/>
              <w:bottom w:w="80" w:type="dxa"/>
              <w:left w:w="120" w:type="dxa"/>
              <w:right w:w="120" w:type="dxa"/>
            </w:tcMar>
          </w:tcPr>
          <w:p>
            <w:r>
              <w:rPr>
                <w:rFonts w:ascii="Segoe UI" w:hAnsi="Segoe UI"/>
                <w:sz w:val="18"/>
              </w:rPr>
              <w:t>Material Related Party Balances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1 Related Party disclosures identified.</w:t>
            </w:r>
          </w:p>
        </w:tc>
      </w:tr>
      <w:tr>
        <w:tc>
          <w:tcPr>
            <w:tcW w:type="dxa" w:w="2437"/>
            <w:tcMar>
              <w:top w:w="80" w:type="dxa"/>
              <w:bottom w:w="80" w:type="dxa"/>
              <w:left w:w="120" w:type="dxa"/>
              <w:right w:w="120" w:type="dxa"/>
            </w:tcMar>
          </w:tcPr>
          <w:p>
            <w:r>
              <w:rPr>
                <w:rFonts w:ascii="Segoe UI" w:hAnsi="Segoe UI"/>
                <w:sz w:val="18"/>
              </w:rPr>
              <w:t>V19</w:t>
            </w:r>
          </w:p>
        </w:tc>
        <w:tc>
          <w:tcPr>
            <w:tcW w:type="dxa" w:w="2437"/>
            <w:tcMar>
              <w:top w:w="80" w:type="dxa"/>
              <w:bottom w:w="80" w:type="dxa"/>
              <w:left w:w="120" w:type="dxa"/>
              <w:right w:w="120" w:type="dxa"/>
            </w:tcMar>
          </w:tcPr>
          <w:p>
            <w:r>
              <w:rPr>
                <w:rFonts w:ascii="Segoe UI" w:hAnsi="Segoe UI"/>
                <w:sz w:val="18"/>
              </w:rPr>
              <w:t>Borrowing Repayment Defaults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borrowing repayment defaults identified.</w:t>
            </w:r>
          </w:p>
        </w:tc>
      </w:tr>
      <w:tr>
        <w:tc>
          <w:tcPr>
            <w:tcW w:type="dxa" w:w="2437"/>
            <w:tcMar>
              <w:top w:w="80" w:type="dxa"/>
              <w:bottom w:w="80" w:type="dxa"/>
              <w:left w:w="120" w:type="dxa"/>
              <w:right w:w="120" w:type="dxa"/>
            </w:tcMar>
          </w:tcPr>
          <w:p>
            <w:r>
              <w:rPr>
                <w:rFonts w:ascii="Segoe UI" w:hAnsi="Segoe UI"/>
                <w:sz w:val="18"/>
              </w:rPr>
              <w:t>V20</w:t>
            </w:r>
          </w:p>
        </w:tc>
        <w:tc>
          <w:tcPr>
            <w:tcW w:type="dxa" w:w="2437"/>
            <w:tcMar>
              <w:top w:w="80" w:type="dxa"/>
              <w:bottom w:w="80" w:type="dxa"/>
              <w:left w:w="120" w:type="dxa"/>
              <w:right w:w="120" w:type="dxa"/>
            </w:tcMar>
          </w:tcPr>
          <w:p>
            <w:r>
              <w:rPr>
                <w:rFonts w:ascii="Segoe UI" w:hAnsi="Segoe UI"/>
                <w:sz w:val="18"/>
              </w:rPr>
              <w:t>Contingent Liability Increase</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Contingent liabilities stable.</w:t>
            </w:r>
          </w:p>
        </w:tc>
      </w:tr>
      <w:tr>
        <w:tc>
          <w:tcPr>
            <w:tcW w:type="dxa" w:w="2437"/>
            <w:tcMar>
              <w:top w:w="80" w:type="dxa"/>
              <w:bottom w:w="80" w:type="dxa"/>
              <w:left w:w="120" w:type="dxa"/>
              <w:right w:w="120" w:type="dxa"/>
            </w:tcMar>
          </w:tcPr>
          <w:p>
            <w:r>
              <w:rPr>
                <w:rFonts w:ascii="Segoe UI" w:hAnsi="Segoe UI"/>
                <w:sz w:val="18"/>
              </w:rPr>
              <w:t>V21</w:t>
            </w:r>
          </w:p>
        </w:tc>
        <w:tc>
          <w:tcPr>
            <w:tcW w:type="dxa" w:w="2437"/>
            <w:tcMar>
              <w:top w:w="80" w:type="dxa"/>
              <w:bottom w:w="80" w:type="dxa"/>
              <w:left w:w="120" w:type="dxa"/>
              <w:right w:w="120" w:type="dxa"/>
            </w:tcMar>
          </w:tcPr>
          <w:p>
            <w:r>
              <w:rPr>
                <w:rFonts w:ascii="Segoe UI" w:hAnsi="Segoe UI"/>
                <w:sz w:val="18"/>
              </w:rPr>
              <w:t>Income Mapped to Balance Sheet</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income ledgers mapped to Balance Sheet.</w:t>
            </w:r>
          </w:p>
        </w:tc>
      </w:tr>
      <w:tr>
        <w:tc>
          <w:tcPr>
            <w:tcW w:type="dxa" w:w="2437"/>
            <w:tcMar>
              <w:top w:w="80" w:type="dxa"/>
              <w:bottom w:w="80" w:type="dxa"/>
              <w:left w:w="120" w:type="dxa"/>
              <w:right w:w="120" w:type="dxa"/>
            </w:tcMar>
          </w:tcPr>
          <w:p>
            <w:r>
              <w:rPr>
                <w:rFonts w:ascii="Segoe UI" w:hAnsi="Segoe UI"/>
                <w:sz w:val="18"/>
              </w:rPr>
              <w:t>V22</w:t>
            </w:r>
          </w:p>
        </w:tc>
        <w:tc>
          <w:tcPr>
            <w:tcW w:type="dxa" w:w="2437"/>
            <w:tcMar>
              <w:top w:w="80" w:type="dxa"/>
              <w:bottom w:w="80" w:type="dxa"/>
              <w:left w:w="120" w:type="dxa"/>
              <w:right w:w="120" w:type="dxa"/>
            </w:tcMar>
          </w:tcPr>
          <w:p>
            <w:r>
              <w:rPr>
                <w:rFonts w:ascii="Segoe UI" w:hAnsi="Segoe UI"/>
                <w:sz w:val="18"/>
              </w:rPr>
              <w:t>Expense Mapped to Balance Sheet</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expense ledgers mapped to Balance Sheet.</w:t>
            </w:r>
          </w:p>
        </w:tc>
      </w:tr>
      <w:tr>
        <w:tc>
          <w:tcPr>
            <w:tcW w:type="dxa" w:w="2437"/>
            <w:tcMar>
              <w:top w:w="80" w:type="dxa"/>
              <w:bottom w:w="80" w:type="dxa"/>
              <w:left w:w="120" w:type="dxa"/>
              <w:right w:w="120" w:type="dxa"/>
            </w:tcMar>
          </w:tcPr>
          <w:p>
            <w:r>
              <w:rPr>
                <w:rFonts w:ascii="Segoe UI" w:hAnsi="Segoe UI"/>
                <w:sz w:val="18"/>
              </w:rPr>
              <w:t>V23</w:t>
            </w:r>
          </w:p>
        </w:tc>
        <w:tc>
          <w:tcPr>
            <w:tcW w:type="dxa" w:w="2437"/>
            <w:tcMar>
              <w:top w:w="80" w:type="dxa"/>
              <w:bottom w:w="80" w:type="dxa"/>
              <w:left w:w="120" w:type="dxa"/>
              <w:right w:w="120" w:type="dxa"/>
            </w:tcMar>
          </w:tcPr>
          <w:p>
            <w:r>
              <w:rPr>
                <w:rFonts w:ascii="Segoe UI" w:hAnsi="Segoe UI"/>
                <w:sz w:val="18"/>
              </w:rPr>
              <w:t>Asset Mapped to Profit &amp; Loss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asset ledgers mapped to Profit &amp; Loss.</w:t>
            </w:r>
          </w:p>
        </w:tc>
      </w:tr>
      <w:tr>
        <w:tc>
          <w:tcPr>
            <w:tcW w:type="dxa" w:w="2437"/>
            <w:tcMar>
              <w:top w:w="80" w:type="dxa"/>
              <w:bottom w:w="80" w:type="dxa"/>
              <w:left w:w="120" w:type="dxa"/>
              <w:right w:w="120" w:type="dxa"/>
            </w:tcMar>
          </w:tcPr>
          <w:p>
            <w:r>
              <w:rPr>
                <w:rFonts w:ascii="Segoe UI" w:hAnsi="Segoe UI"/>
                <w:sz w:val="18"/>
              </w:rPr>
              <w:t>V24</w:t>
            </w:r>
          </w:p>
        </w:tc>
        <w:tc>
          <w:tcPr>
            <w:tcW w:type="dxa" w:w="2437"/>
            <w:tcMar>
              <w:top w:w="80" w:type="dxa"/>
              <w:bottom w:w="80" w:type="dxa"/>
              <w:left w:w="120" w:type="dxa"/>
              <w:right w:w="120" w:type="dxa"/>
            </w:tcMar>
          </w:tcPr>
          <w:p>
            <w:r>
              <w:rPr>
                <w:rFonts w:ascii="Segoe UI" w:hAnsi="Segoe UI"/>
                <w:sz w:val="18"/>
              </w:rPr>
              <w:t>Liability Mapped to Profit &amp; Loss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liability ledgers mapped to Profit &amp; Loss.</w:t>
            </w:r>
          </w:p>
        </w:tc>
      </w:tr>
      <w:tr>
        <w:tc>
          <w:tcPr>
            <w:tcW w:type="dxa" w:w="2437"/>
            <w:tcMar>
              <w:top w:w="80" w:type="dxa"/>
              <w:bottom w:w="80" w:type="dxa"/>
              <w:left w:w="120" w:type="dxa"/>
              <w:right w:w="120" w:type="dxa"/>
            </w:tcMar>
          </w:tcPr>
          <w:p>
            <w:r>
              <w:rPr>
                <w:rFonts w:ascii="Segoe UI" w:hAnsi="Segoe UI"/>
                <w:sz w:val="18"/>
              </w:rPr>
              <w:t>V25</w:t>
            </w:r>
          </w:p>
        </w:tc>
        <w:tc>
          <w:tcPr>
            <w:tcW w:type="dxa" w:w="2437"/>
            <w:tcMar>
              <w:top w:w="80" w:type="dxa"/>
              <w:bottom w:w="80" w:type="dxa"/>
              <w:left w:w="120" w:type="dxa"/>
              <w:right w:w="120" w:type="dxa"/>
            </w:tcMar>
          </w:tcPr>
          <w:p>
            <w:r>
              <w:rPr>
                <w:rFonts w:ascii="Segoe UI" w:hAnsi="Segoe UI"/>
                <w:sz w:val="18"/>
              </w:rPr>
              <w:t>Invalid Current/Non-Current Tag</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All Balance Sheet items have valid Current/Non-Current tags.</w:t>
            </w:r>
          </w:p>
        </w:tc>
      </w:tr>
      <w:tr>
        <w:tc>
          <w:tcPr>
            <w:tcW w:type="dxa" w:w="2437"/>
            <w:tcMar>
              <w:top w:w="80" w:type="dxa"/>
              <w:bottom w:w="80" w:type="dxa"/>
              <w:left w:w="120" w:type="dxa"/>
              <w:right w:w="120" w:type="dxa"/>
            </w:tcMar>
          </w:tcPr>
          <w:p>
            <w:r>
              <w:rPr>
                <w:rFonts w:ascii="Segoe UI" w:hAnsi="Segoe UI"/>
                <w:sz w:val="18"/>
              </w:rPr>
              <w:t>V26</w:t>
            </w:r>
          </w:p>
        </w:tc>
        <w:tc>
          <w:tcPr>
            <w:tcW w:type="dxa" w:w="2437"/>
            <w:tcMar>
              <w:top w:w="80" w:type="dxa"/>
              <w:bottom w:w="80" w:type="dxa"/>
              <w:left w:w="120" w:type="dxa"/>
              <w:right w:w="120" w:type="dxa"/>
            </w:tcMar>
          </w:tcPr>
          <w:p>
            <w:r>
              <w:rPr>
                <w:rFonts w:ascii="Segoe UI" w:hAnsi="Segoe UI"/>
                <w:sz w:val="18"/>
              </w:rPr>
              <w:t>High Value Fallback Mapping (&gt; Rs 50 Lakhs)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high value ledgers mapped to default fallback.</w:t>
            </w:r>
          </w:p>
        </w:tc>
      </w:tr>
      <w:tr>
        <w:tc>
          <w:tcPr>
            <w:tcW w:type="dxa" w:w="2437"/>
            <w:tcMar>
              <w:top w:w="80" w:type="dxa"/>
              <w:bottom w:w="80" w:type="dxa"/>
              <w:left w:w="120" w:type="dxa"/>
              <w:right w:w="120" w:type="dxa"/>
            </w:tcMar>
          </w:tcPr>
          <w:p>
            <w:r>
              <w:rPr>
                <w:rFonts w:ascii="Segoe UI" w:hAnsi="Segoe UI"/>
                <w:sz w:val="18"/>
              </w:rPr>
              <w:t>V27</w:t>
            </w:r>
          </w:p>
        </w:tc>
        <w:tc>
          <w:tcPr>
            <w:tcW w:type="dxa" w:w="2437"/>
            <w:tcMar>
              <w:top w:w="80" w:type="dxa"/>
              <w:bottom w:w="80" w:type="dxa"/>
              <w:left w:w="120" w:type="dxa"/>
              <w:right w:w="120" w:type="dxa"/>
            </w:tcMar>
          </w:tcPr>
          <w:p>
            <w:r>
              <w:rPr>
                <w:rFonts w:ascii="Segoe UI" w:hAnsi="Segoe UI"/>
                <w:sz w:val="18"/>
              </w:rPr>
              <w:t>User Override Audit Trail</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manual overrides applied.</w:t>
            </w:r>
          </w:p>
        </w:tc>
      </w:tr>
    </w:tbl>
    <w:p>
      <w:r>
        <w:br w:type="page"/>
      </w:r>
    </w:p>
    <w:p>
      <w:pPr>
        <w:keepNext/>
        <w:spacing w:before="280" w:after="120"/>
      </w:pPr>
      <w:r>
        <w:rPr>
          <w:rFonts w:ascii="Segoe UI" w:hAnsi="Segoe UI"/>
          <w:b/>
          <w:color w:val="1B365D"/>
          <w:sz w:val="26"/>
        </w:rPr>
        <w:t>AUDITOR DISCLAIMER &amp; PARTNER SIGN-OFF BLOCK</w:t>
      </w:r>
    </w:p>
    <w:p>
      <w:r>
        <w:rPr>
          <w:rFonts w:ascii="Segoe UI" w:hAnsi="Segoe UI"/>
          <w:color w:val="0F172A"/>
          <w:sz w:val="19"/>
        </w:rPr>
        <w:t>This Financial Statement draft has been prepared strictly based on the trial balance and supporting schedules provided by management. In accordance with ICAI Standards on Auditing, final financial statements must be approved by the Board of Directors and signed by Chartered Accountants.</w:t>
      </w:r>
    </w:p>
    <w:p/>
    <w:tbl>
      <w:tblPr>
        <w:tblW w:type="auto" w:w="0"/>
        <w:jc w:val="center"/>
        <w:tblLook w:firstColumn="1" w:firstRow="1" w:lastColumn="0" w:lastRow="0" w:noHBand="0" w:noVBand="1" w:val="04A0"/>
      </w:tblPr>
      <w:tblGrid>
        <w:gridCol w:w="4874"/>
        <w:gridCol w:w="4874"/>
      </w:tblGrid>
      <w:tr>
        <w:tc>
          <w:tcPr>
            <w:tcW w:type="dxa" w:w="4874"/>
            <w:tcMar>
              <w:top w:w="80" w:type="dxa"/>
              <w:bottom w:w="80" w:type="dxa"/>
              <w:left w:w="120" w:type="dxa"/>
              <w:right w:w="120" w:type="dxa"/>
            </w:tcMar>
            <w:shd w:fill="F8FAFC"/>
          </w:tcPr>
          <w:p>
            <w:r>
              <w:t>For SW INDIA</w:t>
              <w:br/>
              <w:t>Chartered Accountants</w:t>
              <w:br/>
              <w:t>Firm Registration No: 001234N</w:t>
            </w:r>
          </w:p>
        </w:tc>
        <w:tc>
          <w:tcPr>
            <w:tcW w:type="dxa" w:w="4874"/>
            <w:tcMar>
              <w:top w:w="80" w:type="dxa"/>
              <w:bottom w:w="80" w:type="dxa"/>
              <w:left w:w="120" w:type="dxa"/>
              <w:right w:w="120" w:type="dxa"/>
            </w:tcMar>
            <w:shd w:fill="F8FAFC"/>
          </w:tcPr>
          <w:p>
            <w:r>
              <w:t>For Apex Engineering Industries Limited</w:t>
              <w:br/>
              <w:t>Board of Directors</w:t>
            </w:r>
          </w:p>
        </w:tc>
      </w:tr>
      <w:tr>
        <w:tc>
          <w:tcPr>
            <w:tcW w:type="dxa" w:w="4874"/>
            <w:tcMar>
              <w:top w:w="80" w:type="dxa"/>
              <w:bottom w:w="80" w:type="dxa"/>
              <w:left w:w="120" w:type="dxa"/>
              <w:right w:w="120" w:type="dxa"/>
            </w:tcMar>
            <w:shd w:fill="F8FAFC"/>
          </w:tcPr>
          <w:p>
            <w:r>
              <w:br/>
              <w:br/>
            </w:r>
          </w:p>
        </w:tc>
        <w:tc>
          <w:tcPr>
            <w:tcW w:type="dxa" w:w="4874"/>
            <w:tcMar>
              <w:top w:w="80" w:type="dxa"/>
              <w:bottom w:w="80" w:type="dxa"/>
              <w:left w:w="120" w:type="dxa"/>
              <w:right w:w="120" w:type="dxa"/>
            </w:tcMar>
            <w:shd w:fill="F8FAFC"/>
          </w:tcPr>
          <w:p>
            <w:r>
              <w:br/>
              <w:br/>
            </w:r>
          </w:p>
        </w:tc>
      </w:tr>
      <w:tr>
        <w:tc>
          <w:tcPr>
            <w:tcW w:type="dxa" w:w="4874"/>
            <w:tcMar>
              <w:top w:w="80" w:type="dxa"/>
              <w:bottom w:w="80" w:type="dxa"/>
              <w:left w:w="120" w:type="dxa"/>
              <w:right w:w="120" w:type="dxa"/>
            </w:tcMar>
            <w:shd w:fill="F8FAFC"/>
          </w:tcPr>
          <w:p>
            <w:r>
              <w:t>CA Partner</w:t>
              <w:br/>
              <w:t>Membership No: 501234</w:t>
              <w:br/>
              <w:t>UDIN: 25501234AAAAAA1234</w:t>
            </w:r>
          </w:p>
        </w:tc>
        <w:tc>
          <w:tcPr>
            <w:tcW w:type="dxa" w:w="4874"/>
            <w:tcMar>
              <w:top w:w="80" w:type="dxa"/>
              <w:bottom w:w="80" w:type="dxa"/>
              <w:left w:w="120" w:type="dxa"/>
              <w:right w:w="120" w:type="dxa"/>
            </w:tcMar>
            <w:shd w:fill="F8FAFC"/>
          </w:tcPr>
          <w:p>
            <w:r>
              <w:t>Director</w:t>
              <w:br/>
              <w:t>DIN: 01234567</w:t>
              <w:br/>
              <w:br/>
              <w:t>Director</w:t>
              <w:br/>
              <w:t>DIN: 08901234</w:t>
            </w:r>
          </w:p>
        </w:tc>
      </w:tr>
    </w:tbl>
    <w:sectPr w:rsidR="00FC693F" w:rsidRPr="0006063C" w:rsidSect="00034616">
      <w:headerReference w:type="default" r:id="rId9"/>
      <w:footerReference w:type="default" r:id="rId10"/>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6"/>
      </w:rPr>
      <w:t>Confidential - For Internal CA Review Only. AS 3 &amp; Schedule III Division I Compliant. | FY 2024-25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6"/>
      </w:rPr>
      <w:t>SW INDIA | FS BUILDER LITE v0.2 | Apex Engineering Industries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