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36"/>
        </w:rPr>
        <w:t>Test Company-II Engineering India Private Limited</w:t>
        <w:br/>
      </w:r>
      <w:r>
        <w:rPr>
          <w:b/>
          <w:sz w:val="28"/>
        </w:rPr>
        <w:t>STANDALONE FINANCIAL STATEMENTS</w:t>
        <w:br/>
        <w:t>For the Financial Year 2025-26</w:t>
        <w:br/>
      </w:r>
      <w:r>
        <w:rPr>
          <w:i/>
          <w:sz w:val="20"/>
        </w:rPr>
        <w:t>CIN: U29253MH2012PTC234567</w:t>
        <w:br/>
        <w:t xml:space="preserve">Plot 45, Industrial Zone, Thane, Maharashtra </w:t>
        <w:br/>
      </w:r>
    </w:p>
    <w:p>
      <w:r>
        <w:br/>
      </w:r>
    </w:p>
    <w:p>
      <w:pPr>
        <w:pStyle w:val="Heading1"/>
      </w:pPr>
      <w:r>
        <w:t>1. Balance Sheet</w:t>
      </w:r>
    </w:p>
    <w:tbl>
      <w:tblPr>
        <w:tblW w:type="auto" w:w="0"/>
        <w:jc w:val="center"/>
        <w:tblLook w:firstColumn="1" w:firstRow="1" w:lastColumn="0" w:lastRow="0" w:noHBand="0" w:noVBand="1" w:val="04A0"/>
      </w:tblPr>
      <w:tblGrid>
        <w:gridCol w:w="2160"/>
        <w:gridCol w:w="2160"/>
        <w:gridCol w:w="2160"/>
        <w:gridCol w:w="2160"/>
      </w:tblGrid>
      <w:tr>
        <w:tc>
          <w:tcPr>
            <w:tcW w:type="dxa" w:w="2160"/>
          </w:tcPr>
          <w:p>
            <w:r>
              <w:t>Particulars</w:t>
            </w:r>
          </w:p>
        </w:tc>
        <w:tc>
          <w:tcPr>
            <w:tcW w:type="dxa" w:w="2160"/>
          </w:tcPr>
          <w:p>
            <w:r>
              <w:t>Note</w:t>
            </w:r>
          </w:p>
        </w:tc>
        <w:tc>
          <w:tcPr>
            <w:tcW w:type="dxa" w:w="2160"/>
          </w:tcPr>
          <w:p>
            <w:r>
              <w:t>FY 2025-26</w:t>
            </w:r>
          </w:p>
        </w:tc>
        <w:tc>
          <w:tcPr>
            <w:tcW w:type="dxa" w:w="2160"/>
          </w:tcPr>
          <w:p>
            <w:r>
              <w:t>FY 2024-25</w:t>
            </w:r>
          </w:p>
        </w:tc>
      </w:tr>
      <w:tr>
        <w:tc>
          <w:tcPr>
            <w:tcW w:type="dxa" w:w="2160"/>
          </w:tcPr>
          <w:p>
            <w:r>
              <w:t>I. EQUITY AND LIABILITIES</w:t>
            </w:r>
          </w:p>
        </w:tc>
        <w:tc>
          <w:tcPr>
            <w:tcW w:type="dxa" w:w="2160"/>
          </w:tcPr>
          <w:p>
            <w:r/>
          </w:p>
        </w:tc>
        <w:tc>
          <w:tcPr>
            <w:tcW w:type="dxa" w:w="2160"/>
          </w:tcPr>
          <w:p>
            <w:r/>
          </w:p>
        </w:tc>
        <w:tc>
          <w:tcPr>
            <w:tcW w:type="dxa" w:w="2160"/>
          </w:tcPr>
          <w:p>
            <w:r/>
          </w:p>
        </w:tc>
      </w:tr>
      <w:tr>
        <w:tc>
          <w:tcPr>
            <w:tcW w:type="dxa" w:w="2160"/>
          </w:tcPr>
          <w:p>
            <w:r>
              <w:t>(1) Shareholders' Funds</w:t>
            </w:r>
          </w:p>
        </w:tc>
        <w:tc>
          <w:tcPr>
            <w:tcW w:type="dxa" w:w="2160"/>
          </w:tcPr>
          <w:p>
            <w:r/>
          </w:p>
        </w:tc>
        <w:tc>
          <w:tcPr>
            <w:tcW w:type="dxa" w:w="2160"/>
          </w:tcPr>
          <w:p>
            <w:r/>
          </w:p>
        </w:tc>
        <w:tc>
          <w:tcPr>
            <w:tcW w:type="dxa" w:w="2160"/>
          </w:tcPr>
          <w:p>
            <w:r/>
          </w:p>
        </w:tc>
      </w:tr>
      <w:tr>
        <w:tc>
          <w:tcPr>
            <w:tcW w:type="dxa" w:w="2160"/>
          </w:tcPr>
          <w:p>
            <w:r>
              <w:t>(a) Share capital</w:t>
            </w:r>
          </w:p>
        </w:tc>
        <w:tc>
          <w:tcPr>
            <w:tcW w:type="dxa" w:w="2160"/>
          </w:tcPr>
          <w:p>
            <w:r>
              <w:t>2</w:t>
            </w:r>
          </w:p>
        </w:tc>
        <w:tc>
          <w:tcPr>
            <w:tcW w:type="dxa" w:w="2160"/>
          </w:tcPr>
          <w:p>
            <w:r>
              <w:t>5,000,000.00</w:t>
            </w:r>
          </w:p>
        </w:tc>
        <w:tc>
          <w:tcPr>
            <w:tcW w:type="dxa" w:w="2160"/>
          </w:tcPr>
          <w:p>
            <w:r>
              <w:t>0.00</w:t>
            </w:r>
          </w:p>
        </w:tc>
      </w:tr>
      <w:tr>
        <w:tc>
          <w:tcPr>
            <w:tcW w:type="dxa" w:w="2160"/>
          </w:tcPr>
          <w:p>
            <w:r>
              <w:t>(b) Reserves and surplus</w:t>
            </w:r>
          </w:p>
        </w:tc>
        <w:tc>
          <w:tcPr>
            <w:tcW w:type="dxa" w:w="2160"/>
          </w:tcPr>
          <w:p>
            <w:r>
              <w:t>3</w:t>
            </w:r>
          </w:p>
        </w:tc>
        <w:tc>
          <w:tcPr>
            <w:tcW w:type="dxa" w:w="2160"/>
          </w:tcPr>
          <w:p>
            <w:r>
              <w:t>-781,000.00</w:t>
            </w:r>
          </w:p>
        </w:tc>
        <w:tc>
          <w:tcPr>
            <w:tcW w:type="dxa" w:w="2160"/>
          </w:tcPr>
          <w:p>
            <w:r>
              <w:t>0.00</w:t>
            </w:r>
          </w:p>
        </w:tc>
      </w:tr>
      <w:tr>
        <w:tc>
          <w:tcPr>
            <w:tcW w:type="dxa" w:w="2160"/>
          </w:tcPr>
          <w:p>
            <w:r>
              <w:t>(c) Money received against share warrants</w:t>
            </w:r>
          </w:p>
        </w:tc>
        <w:tc>
          <w:tcPr>
            <w:tcW w:type="dxa" w:w="2160"/>
          </w:tcPr>
          <w:p>
            <w:r>
              <w:t>3.1</w:t>
            </w:r>
          </w:p>
        </w:tc>
        <w:tc>
          <w:tcPr>
            <w:tcW w:type="dxa" w:w="2160"/>
          </w:tcPr>
          <w:p>
            <w:r>
              <w:t>0.00</w:t>
            </w:r>
          </w:p>
        </w:tc>
        <w:tc>
          <w:tcPr>
            <w:tcW w:type="dxa" w:w="2160"/>
          </w:tcPr>
          <w:p>
            <w:r>
              <w:t>0.00</w:t>
            </w:r>
          </w:p>
        </w:tc>
      </w:tr>
      <w:tr>
        <w:tc>
          <w:tcPr>
            <w:tcW w:type="dxa" w:w="2160"/>
          </w:tcPr>
          <w:p>
            <w:r>
              <w:t>(2) Share application money pending allotment</w:t>
            </w:r>
          </w:p>
        </w:tc>
        <w:tc>
          <w:tcPr>
            <w:tcW w:type="dxa" w:w="2160"/>
          </w:tcPr>
          <w:p>
            <w:r>
              <w:t>3.2</w:t>
            </w:r>
          </w:p>
        </w:tc>
        <w:tc>
          <w:tcPr>
            <w:tcW w:type="dxa" w:w="2160"/>
          </w:tcPr>
          <w:p>
            <w:r>
              <w:t>0.00</w:t>
            </w:r>
          </w:p>
        </w:tc>
        <w:tc>
          <w:tcPr>
            <w:tcW w:type="dxa" w:w="2160"/>
          </w:tcPr>
          <w:p>
            <w:r>
              <w:t>0.00</w:t>
            </w:r>
          </w:p>
        </w:tc>
      </w:tr>
      <w:tr>
        <w:tc>
          <w:tcPr>
            <w:tcW w:type="dxa" w:w="2160"/>
          </w:tcPr>
          <w:p>
            <w:r>
              <w:t>(3) Non-current liabilities</w:t>
            </w:r>
          </w:p>
        </w:tc>
        <w:tc>
          <w:tcPr>
            <w:tcW w:type="dxa" w:w="2160"/>
          </w:tcPr>
          <w:p>
            <w:r/>
          </w:p>
        </w:tc>
        <w:tc>
          <w:tcPr>
            <w:tcW w:type="dxa" w:w="2160"/>
          </w:tcPr>
          <w:p>
            <w:r/>
          </w:p>
        </w:tc>
        <w:tc>
          <w:tcPr>
            <w:tcW w:type="dxa" w:w="2160"/>
          </w:tcPr>
          <w:p>
            <w:r/>
          </w:p>
        </w:tc>
      </w:tr>
      <w:tr>
        <w:tc>
          <w:tcPr>
            <w:tcW w:type="dxa" w:w="2160"/>
          </w:tcPr>
          <w:p>
            <w:r>
              <w:t>(a) Long-term borrowings</w:t>
            </w:r>
          </w:p>
        </w:tc>
        <w:tc>
          <w:tcPr>
            <w:tcW w:type="dxa" w:w="2160"/>
          </w:tcPr>
          <w:p>
            <w:r>
              <w:t>4</w:t>
            </w:r>
          </w:p>
        </w:tc>
        <w:tc>
          <w:tcPr>
            <w:tcW w:type="dxa" w:w="2160"/>
          </w:tcPr>
          <w:p>
            <w:r>
              <w:t>2,000,000.00</w:t>
            </w:r>
          </w:p>
        </w:tc>
        <w:tc>
          <w:tcPr>
            <w:tcW w:type="dxa" w:w="2160"/>
          </w:tcPr>
          <w:p>
            <w:r>
              <w:t>0.00</w:t>
            </w:r>
          </w:p>
        </w:tc>
      </w:tr>
      <w:tr>
        <w:tc>
          <w:tcPr>
            <w:tcW w:type="dxa" w:w="2160"/>
          </w:tcPr>
          <w:p>
            <w:r>
              <w:t>(b) Deferred tax liabilities (Net)</w:t>
            </w:r>
          </w:p>
        </w:tc>
        <w:tc>
          <w:tcPr>
            <w:tcW w:type="dxa" w:w="2160"/>
          </w:tcPr>
          <w:p>
            <w:r>
              <w:t>5</w:t>
            </w:r>
          </w:p>
        </w:tc>
        <w:tc>
          <w:tcPr>
            <w:tcW w:type="dxa" w:w="2160"/>
          </w:tcPr>
          <w:p>
            <w:r>
              <w:t>0.00</w:t>
            </w:r>
          </w:p>
        </w:tc>
        <w:tc>
          <w:tcPr>
            <w:tcW w:type="dxa" w:w="2160"/>
          </w:tcPr>
          <w:p>
            <w:r>
              <w:t>0.00</w:t>
            </w:r>
          </w:p>
        </w:tc>
      </w:tr>
      <w:tr>
        <w:tc>
          <w:tcPr>
            <w:tcW w:type="dxa" w:w="2160"/>
          </w:tcPr>
          <w:p>
            <w:r>
              <w:t>(c) Other long-term liabilities</w:t>
            </w:r>
          </w:p>
        </w:tc>
        <w:tc>
          <w:tcPr>
            <w:tcW w:type="dxa" w:w="2160"/>
          </w:tcPr>
          <w:p>
            <w:r>
              <w:t>6</w:t>
            </w:r>
          </w:p>
        </w:tc>
        <w:tc>
          <w:tcPr>
            <w:tcW w:type="dxa" w:w="2160"/>
          </w:tcPr>
          <w:p>
            <w:r>
              <w:t>0.00</w:t>
            </w:r>
          </w:p>
        </w:tc>
        <w:tc>
          <w:tcPr>
            <w:tcW w:type="dxa" w:w="2160"/>
          </w:tcPr>
          <w:p>
            <w:r>
              <w:t>0.00</w:t>
            </w:r>
          </w:p>
        </w:tc>
      </w:tr>
      <w:tr>
        <w:tc>
          <w:tcPr>
            <w:tcW w:type="dxa" w:w="2160"/>
          </w:tcPr>
          <w:p>
            <w:r>
              <w:t>(d) Long-term provisions</w:t>
            </w:r>
          </w:p>
        </w:tc>
        <w:tc>
          <w:tcPr>
            <w:tcW w:type="dxa" w:w="2160"/>
          </w:tcPr>
          <w:p>
            <w:r>
              <w:t>7</w:t>
            </w:r>
          </w:p>
        </w:tc>
        <w:tc>
          <w:tcPr>
            <w:tcW w:type="dxa" w:w="2160"/>
          </w:tcPr>
          <w:p>
            <w:r>
              <w:t>0.00</w:t>
            </w:r>
          </w:p>
        </w:tc>
        <w:tc>
          <w:tcPr>
            <w:tcW w:type="dxa" w:w="2160"/>
          </w:tcPr>
          <w:p>
            <w:r>
              <w:t>0.00</w:t>
            </w:r>
          </w:p>
        </w:tc>
      </w:tr>
      <w:tr>
        <w:tc>
          <w:tcPr>
            <w:tcW w:type="dxa" w:w="2160"/>
          </w:tcPr>
          <w:p>
            <w:r>
              <w:t>(4) Current liabilities</w:t>
            </w:r>
          </w:p>
        </w:tc>
        <w:tc>
          <w:tcPr>
            <w:tcW w:type="dxa" w:w="2160"/>
          </w:tcPr>
          <w:p>
            <w:r/>
          </w:p>
        </w:tc>
        <w:tc>
          <w:tcPr>
            <w:tcW w:type="dxa" w:w="2160"/>
          </w:tcPr>
          <w:p>
            <w:r/>
          </w:p>
        </w:tc>
        <w:tc>
          <w:tcPr>
            <w:tcW w:type="dxa" w:w="2160"/>
          </w:tcPr>
          <w:p>
            <w:r/>
          </w:p>
        </w:tc>
      </w:tr>
      <w:tr>
        <w:tc>
          <w:tcPr>
            <w:tcW w:type="dxa" w:w="2160"/>
          </w:tcPr>
          <w:p>
            <w:r>
              <w:t>(a) Short-term borrowings</w:t>
            </w:r>
          </w:p>
        </w:tc>
        <w:tc>
          <w:tcPr>
            <w:tcW w:type="dxa" w:w="2160"/>
          </w:tcPr>
          <w:p>
            <w:r>
              <w:t>8</w:t>
            </w:r>
          </w:p>
        </w:tc>
        <w:tc>
          <w:tcPr>
            <w:tcW w:type="dxa" w:w="2160"/>
          </w:tcPr>
          <w:p>
            <w:r>
              <w:t>0.00</w:t>
            </w:r>
          </w:p>
        </w:tc>
        <w:tc>
          <w:tcPr>
            <w:tcW w:type="dxa" w:w="2160"/>
          </w:tcPr>
          <w:p>
            <w:r>
              <w:t>0.00</w:t>
            </w:r>
          </w:p>
        </w:tc>
      </w:tr>
      <w:tr>
        <w:tc>
          <w:tcPr>
            <w:tcW w:type="dxa" w:w="2160"/>
          </w:tcPr>
          <w:p>
            <w:r>
              <w:t>(b) Trade payables</w:t>
            </w:r>
          </w:p>
        </w:tc>
        <w:tc>
          <w:tcPr>
            <w:tcW w:type="dxa" w:w="2160"/>
          </w:tcPr>
          <w:p>
            <w:r>
              <w:t>9</w:t>
            </w:r>
          </w:p>
        </w:tc>
        <w:tc>
          <w:tcPr>
            <w:tcW w:type="dxa" w:w="2160"/>
          </w:tcPr>
          <w:p>
            <w:r>
              <w:t>1,818,000.00</w:t>
            </w:r>
          </w:p>
        </w:tc>
        <w:tc>
          <w:tcPr>
            <w:tcW w:type="dxa" w:w="2160"/>
          </w:tcPr>
          <w:p>
            <w:r>
              <w:t>0.00</w:t>
            </w:r>
          </w:p>
        </w:tc>
      </w:tr>
      <w:tr>
        <w:tc>
          <w:tcPr>
            <w:tcW w:type="dxa" w:w="2160"/>
          </w:tcPr>
          <w:p>
            <w:r>
              <w:t>(c) Other current liabilities</w:t>
            </w:r>
          </w:p>
        </w:tc>
        <w:tc>
          <w:tcPr>
            <w:tcW w:type="dxa" w:w="2160"/>
          </w:tcPr>
          <w:p>
            <w:r>
              <w:t>10</w:t>
            </w:r>
          </w:p>
        </w:tc>
        <w:tc>
          <w:tcPr>
            <w:tcW w:type="dxa" w:w="2160"/>
          </w:tcPr>
          <w:p>
            <w:r>
              <w:t>0.00</w:t>
            </w:r>
          </w:p>
        </w:tc>
        <w:tc>
          <w:tcPr>
            <w:tcW w:type="dxa" w:w="2160"/>
          </w:tcPr>
          <w:p>
            <w:r>
              <w:t>0.00</w:t>
            </w:r>
          </w:p>
        </w:tc>
      </w:tr>
      <w:tr>
        <w:tc>
          <w:tcPr>
            <w:tcW w:type="dxa" w:w="2160"/>
          </w:tcPr>
          <w:p>
            <w:r>
              <w:t>(d) Short-term provisions</w:t>
            </w:r>
          </w:p>
        </w:tc>
        <w:tc>
          <w:tcPr>
            <w:tcW w:type="dxa" w:w="2160"/>
          </w:tcPr>
          <w:p>
            <w:r>
              <w:t>11</w:t>
            </w:r>
          </w:p>
        </w:tc>
        <w:tc>
          <w:tcPr>
            <w:tcW w:type="dxa" w:w="2160"/>
          </w:tcPr>
          <w:p>
            <w:r>
              <w:t>0.00</w:t>
            </w:r>
          </w:p>
        </w:tc>
        <w:tc>
          <w:tcPr>
            <w:tcW w:type="dxa" w:w="2160"/>
          </w:tcPr>
          <w:p>
            <w:r>
              <w:t>0.00</w:t>
            </w:r>
          </w:p>
        </w:tc>
      </w:tr>
      <w:tr>
        <w:tc>
          <w:tcPr>
            <w:tcW w:type="dxa" w:w="2160"/>
          </w:tcPr>
          <w:p>
            <w:r>
              <w:t>TOTAL EQUITY AND LIABILITIES</w:t>
            </w:r>
          </w:p>
        </w:tc>
        <w:tc>
          <w:tcPr>
            <w:tcW w:type="dxa" w:w="2160"/>
          </w:tcPr>
          <w:p>
            <w:r/>
          </w:p>
        </w:tc>
        <w:tc>
          <w:tcPr>
            <w:tcW w:type="dxa" w:w="2160"/>
          </w:tcPr>
          <w:p>
            <w:r>
              <w:t>8,037,000.00</w:t>
            </w:r>
          </w:p>
        </w:tc>
        <w:tc>
          <w:tcPr>
            <w:tcW w:type="dxa" w:w="2160"/>
          </w:tcPr>
          <w:p>
            <w:r>
              <w:t>0.00</w:t>
            </w:r>
          </w:p>
        </w:tc>
      </w:tr>
      <w:tr>
        <w:tc>
          <w:tcPr>
            <w:tcW w:type="dxa" w:w="2160"/>
          </w:tcPr>
          <w:p>
            <w:r>
              <w:t>II. ASSETS</w:t>
            </w:r>
          </w:p>
        </w:tc>
        <w:tc>
          <w:tcPr>
            <w:tcW w:type="dxa" w:w="2160"/>
          </w:tcPr>
          <w:p>
            <w:r/>
          </w:p>
        </w:tc>
        <w:tc>
          <w:tcPr>
            <w:tcW w:type="dxa" w:w="2160"/>
          </w:tcPr>
          <w:p>
            <w:r/>
          </w:p>
        </w:tc>
        <w:tc>
          <w:tcPr>
            <w:tcW w:type="dxa" w:w="2160"/>
          </w:tcPr>
          <w:p>
            <w:r/>
          </w:p>
        </w:tc>
      </w:tr>
      <w:tr>
        <w:tc>
          <w:tcPr>
            <w:tcW w:type="dxa" w:w="2160"/>
          </w:tcPr>
          <w:p>
            <w:r>
              <w:t>(1) Non-current assets</w:t>
            </w:r>
          </w:p>
        </w:tc>
        <w:tc>
          <w:tcPr>
            <w:tcW w:type="dxa" w:w="2160"/>
          </w:tcPr>
          <w:p>
            <w:r/>
          </w:p>
        </w:tc>
        <w:tc>
          <w:tcPr>
            <w:tcW w:type="dxa" w:w="2160"/>
          </w:tcPr>
          <w:p>
            <w:r/>
          </w:p>
        </w:tc>
        <w:tc>
          <w:tcPr>
            <w:tcW w:type="dxa" w:w="2160"/>
          </w:tcPr>
          <w:p>
            <w:r/>
          </w:p>
        </w:tc>
      </w:tr>
      <w:tr>
        <w:tc>
          <w:tcPr>
            <w:tcW w:type="dxa" w:w="2160"/>
          </w:tcPr>
          <w:p>
            <w:r>
              <w:t>(a) Property, Plant and Equipment and Intangible assets</w:t>
            </w:r>
          </w:p>
        </w:tc>
        <w:tc>
          <w:tcPr>
            <w:tcW w:type="dxa" w:w="2160"/>
          </w:tcPr>
          <w:p>
            <w:r/>
          </w:p>
        </w:tc>
        <w:tc>
          <w:tcPr>
            <w:tcW w:type="dxa" w:w="2160"/>
          </w:tcPr>
          <w:p>
            <w:r/>
          </w:p>
        </w:tc>
        <w:tc>
          <w:tcPr>
            <w:tcW w:type="dxa" w:w="2160"/>
          </w:tcPr>
          <w:p>
            <w:r/>
          </w:p>
        </w:tc>
      </w:tr>
      <w:tr>
        <w:tc>
          <w:tcPr>
            <w:tcW w:type="dxa" w:w="2160"/>
          </w:tcPr>
          <w:p>
            <w:r>
              <w:t xml:space="preserve">   (i) Property, Plant and Equipment</w:t>
            </w:r>
          </w:p>
        </w:tc>
        <w:tc>
          <w:tcPr>
            <w:tcW w:type="dxa" w:w="2160"/>
          </w:tcPr>
          <w:p>
            <w:r>
              <w:t>12</w:t>
            </w:r>
          </w:p>
        </w:tc>
        <w:tc>
          <w:tcPr>
            <w:tcW w:type="dxa" w:w="2160"/>
          </w:tcPr>
          <w:p>
            <w:r>
              <w:t>1,810,000.00</w:t>
            </w:r>
          </w:p>
        </w:tc>
        <w:tc>
          <w:tcPr>
            <w:tcW w:type="dxa" w:w="2160"/>
          </w:tcPr>
          <w:p>
            <w:r>
              <w:t>0.00</w:t>
            </w:r>
          </w:p>
        </w:tc>
      </w:tr>
      <w:tr>
        <w:tc>
          <w:tcPr>
            <w:tcW w:type="dxa" w:w="2160"/>
          </w:tcPr>
          <w:p>
            <w:r>
              <w:t xml:space="preserve">   (ii) Intangible assets</w:t>
            </w:r>
          </w:p>
        </w:tc>
        <w:tc>
          <w:tcPr>
            <w:tcW w:type="dxa" w:w="2160"/>
          </w:tcPr>
          <w:p>
            <w:r>
              <w:t>12</w:t>
            </w:r>
          </w:p>
        </w:tc>
        <w:tc>
          <w:tcPr>
            <w:tcW w:type="dxa" w:w="2160"/>
          </w:tcPr>
          <w:p>
            <w:r>
              <w:t>0.00</w:t>
            </w:r>
          </w:p>
        </w:tc>
        <w:tc>
          <w:tcPr>
            <w:tcW w:type="dxa" w:w="2160"/>
          </w:tcPr>
          <w:p>
            <w:r>
              <w:t>0.00</w:t>
            </w:r>
          </w:p>
        </w:tc>
      </w:tr>
      <w:tr>
        <w:tc>
          <w:tcPr>
            <w:tcW w:type="dxa" w:w="2160"/>
          </w:tcPr>
          <w:p>
            <w:r>
              <w:t xml:space="preserve">   (iii) Capital work-in-progress</w:t>
            </w:r>
          </w:p>
        </w:tc>
        <w:tc>
          <w:tcPr>
            <w:tcW w:type="dxa" w:w="2160"/>
          </w:tcPr>
          <w:p>
            <w:r>
              <w:t>12</w:t>
            </w:r>
          </w:p>
        </w:tc>
        <w:tc>
          <w:tcPr>
            <w:tcW w:type="dxa" w:w="2160"/>
          </w:tcPr>
          <w:p>
            <w:r>
              <w:t>0.00</w:t>
            </w:r>
          </w:p>
        </w:tc>
        <w:tc>
          <w:tcPr>
            <w:tcW w:type="dxa" w:w="2160"/>
          </w:tcPr>
          <w:p>
            <w:r>
              <w:t>0.00</w:t>
            </w:r>
          </w:p>
        </w:tc>
      </w:tr>
      <w:tr>
        <w:tc>
          <w:tcPr>
            <w:tcW w:type="dxa" w:w="2160"/>
          </w:tcPr>
          <w:p>
            <w:r>
              <w:t>(b) Non-current investments</w:t>
            </w:r>
          </w:p>
        </w:tc>
        <w:tc>
          <w:tcPr>
            <w:tcW w:type="dxa" w:w="2160"/>
          </w:tcPr>
          <w:p>
            <w:r>
              <w:t>13</w:t>
            </w:r>
          </w:p>
        </w:tc>
        <w:tc>
          <w:tcPr>
            <w:tcW w:type="dxa" w:w="2160"/>
          </w:tcPr>
          <w:p>
            <w:r>
              <w:t>0.00</w:t>
            </w:r>
          </w:p>
        </w:tc>
        <w:tc>
          <w:tcPr>
            <w:tcW w:type="dxa" w:w="2160"/>
          </w:tcPr>
          <w:p>
            <w:r>
              <w:t>0.00</w:t>
            </w:r>
          </w:p>
        </w:tc>
      </w:tr>
      <w:tr>
        <w:tc>
          <w:tcPr>
            <w:tcW w:type="dxa" w:w="2160"/>
          </w:tcPr>
          <w:p>
            <w:r>
              <w:t>(c) Deferred tax assets (Net)</w:t>
            </w:r>
          </w:p>
        </w:tc>
        <w:tc>
          <w:tcPr>
            <w:tcW w:type="dxa" w:w="2160"/>
          </w:tcPr>
          <w:p>
            <w:r>
              <w:t>5</w:t>
            </w:r>
          </w:p>
        </w:tc>
        <w:tc>
          <w:tcPr>
            <w:tcW w:type="dxa" w:w="2160"/>
          </w:tcPr>
          <w:p>
            <w:r>
              <w:t>0.00</w:t>
            </w:r>
          </w:p>
        </w:tc>
        <w:tc>
          <w:tcPr>
            <w:tcW w:type="dxa" w:w="2160"/>
          </w:tcPr>
          <w:p>
            <w:r>
              <w:t>0.00</w:t>
            </w:r>
          </w:p>
        </w:tc>
      </w:tr>
      <w:tr>
        <w:tc>
          <w:tcPr>
            <w:tcW w:type="dxa" w:w="2160"/>
          </w:tcPr>
          <w:p>
            <w:r>
              <w:t>(d) Long-term loans and advances</w:t>
            </w:r>
          </w:p>
        </w:tc>
        <w:tc>
          <w:tcPr>
            <w:tcW w:type="dxa" w:w="2160"/>
          </w:tcPr>
          <w:p>
            <w:r>
              <w:t>14</w:t>
            </w:r>
          </w:p>
        </w:tc>
        <w:tc>
          <w:tcPr>
            <w:tcW w:type="dxa" w:w="2160"/>
          </w:tcPr>
          <w:p>
            <w:r>
              <w:t>0.00</w:t>
            </w:r>
          </w:p>
        </w:tc>
        <w:tc>
          <w:tcPr>
            <w:tcW w:type="dxa" w:w="2160"/>
          </w:tcPr>
          <w:p>
            <w:r>
              <w:t>0.00</w:t>
            </w:r>
          </w:p>
        </w:tc>
      </w:tr>
      <w:tr>
        <w:tc>
          <w:tcPr>
            <w:tcW w:type="dxa" w:w="2160"/>
          </w:tcPr>
          <w:p>
            <w:r>
              <w:t>(e) Other non-current assets</w:t>
            </w:r>
          </w:p>
        </w:tc>
        <w:tc>
          <w:tcPr>
            <w:tcW w:type="dxa" w:w="2160"/>
          </w:tcPr>
          <w:p>
            <w:r>
              <w:t>15</w:t>
            </w:r>
          </w:p>
        </w:tc>
        <w:tc>
          <w:tcPr>
            <w:tcW w:type="dxa" w:w="2160"/>
          </w:tcPr>
          <w:p>
            <w:r>
              <w:t>0.00</w:t>
            </w:r>
          </w:p>
        </w:tc>
        <w:tc>
          <w:tcPr>
            <w:tcW w:type="dxa" w:w="2160"/>
          </w:tcPr>
          <w:p>
            <w:r>
              <w:t>0.00</w:t>
            </w:r>
          </w:p>
        </w:tc>
      </w:tr>
      <w:tr>
        <w:tc>
          <w:tcPr>
            <w:tcW w:type="dxa" w:w="2160"/>
          </w:tcPr>
          <w:p>
            <w:r>
              <w:t>(2) Current assets</w:t>
            </w:r>
          </w:p>
        </w:tc>
        <w:tc>
          <w:tcPr>
            <w:tcW w:type="dxa" w:w="2160"/>
          </w:tcPr>
          <w:p>
            <w:r/>
          </w:p>
        </w:tc>
        <w:tc>
          <w:tcPr>
            <w:tcW w:type="dxa" w:w="2160"/>
          </w:tcPr>
          <w:p>
            <w:r/>
          </w:p>
        </w:tc>
        <w:tc>
          <w:tcPr>
            <w:tcW w:type="dxa" w:w="2160"/>
          </w:tcPr>
          <w:p>
            <w:r/>
          </w:p>
        </w:tc>
      </w:tr>
      <w:tr>
        <w:tc>
          <w:tcPr>
            <w:tcW w:type="dxa" w:w="2160"/>
          </w:tcPr>
          <w:p>
            <w:r>
              <w:t>(a) Current investments</w:t>
            </w:r>
          </w:p>
        </w:tc>
        <w:tc>
          <w:tcPr>
            <w:tcW w:type="dxa" w:w="2160"/>
          </w:tcPr>
          <w:p>
            <w:r>
              <w:t>16</w:t>
            </w:r>
          </w:p>
        </w:tc>
        <w:tc>
          <w:tcPr>
            <w:tcW w:type="dxa" w:w="2160"/>
          </w:tcPr>
          <w:p>
            <w:r>
              <w:t>0.00</w:t>
            </w:r>
          </w:p>
        </w:tc>
        <w:tc>
          <w:tcPr>
            <w:tcW w:type="dxa" w:w="2160"/>
          </w:tcPr>
          <w:p>
            <w:r>
              <w:t>0.00</w:t>
            </w:r>
          </w:p>
        </w:tc>
      </w:tr>
      <w:tr>
        <w:tc>
          <w:tcPr>
            <w:tcW w:type="dxa" w:w="2160"/>
          </w:tcPr>
          <w:p>
            <w:r>
              <w:t>(b) Inventories</w:t>
            </w:r>
          </w:p>
        </w:tc>
        <w:tc>
          <w:tcPr>
            <w:tcW w:type="dxa" w:w="2160"/>
          </w:tcPr>
          <w:p>
            <w:r>
              <w:t>17</w:t>
            </w:r>
          </w:p>
        </w:tc>
        <w:tc>
          <w:tcPr>
            <w:tcW w:type="dxa" w:w="2160"/>
          </w:tcPr>
          <w:p>
            <w:r>
              <w:t>0.00</w:t>
            </w:r>
          </w:p>
        </w:tc>
        <w:tc>
          <w:tcPr>
            <w:tcW w:type="dxa" w:w="2160"/>
          </w:tcPr>
          <w:p>
            <w:r>
              <w:t>0.00</w:t>
            </w:r>
          </w:p>
        </w:tc>
      </w:tr>
      <w:tr>
        <w:tc>
          <w:tcPr>
            <w:tcW w:type="dxa" w:w="2160"/>
          </w:tcPr>
          <w:p>
            <w:r>
              <w:t>(c) Trade receivables</w:t>
            </w:r>
          </w:p>
        </w:tc>
        <w:tc>
          <w:tcPr>
            <w:tcW w:type="dxa" w:w="2160"/>
          </w:tcPr>
          <w:p>
            <w:r>
              <w:t>18</w:t>
            </w:r>
          </w:p>
        </w:tc>
        <w:tc>
          <w:tcPr>
            <w:tcW w:type="dxa" w:w="2160"/>
          </w:tcPr>
          <w:p>
            <w:r>
              <w:t>3,101,000.00</w:t>
            </w:r>
          </w:p>
        </w:tc>
        <w:tc>
          <w:tcPr>
            <w:tcW w:type="dxa" w:w="2160"/>
          </w:tcPr>
          <w:p>
            <w:r>
              <w:t>0.00</w:t>
            </w:r>
          </w:p>
        </w:tc>
      </w:tr>
      <w:tr>
        <w:tc>
          <w:tcPr>
            <w:tcW w:type="dxa" w:w="2160"/>
          </w:tcPr>
          <w:p>
            <w:r>
              <w:t>(d) Cash and cash equivalents</w:t>
            </w:r>
          </w:p>
        </w:tc>
        <w:tc>
          <w:tcPr>
            <w:tcW w:type="dxa" w:w="2160"/>
          </w:tcPr>
          <w:p>
            <w:r>
              <w:t>19</w:t>
            </w:r>
          </w:p>
        </w:tc>
        <w:tc>
          <w:tcPr>
            <w:tcW w:type="dxa" w:w="2160"/>
          </w:tcPr>
          <w:p>
            <w:r>
              <w:t>2,976,000.00</w:t>
            </w:r>
          </w:p>
        </w:tc>
        <w:tc>
          <w:tcPr>
            <w:tcW w:type="dxa" w:w="2160"/>
          </w:tcPr>
          <w:p>
            <w:r>
              <w:t>0.00</w:t>
            </w:r>
          </w:p>
        </w:tc>
      </w:tr>
      <w:tr>
        <w:tc>
          <w:tcPr>
            <w:tcW w:type="dxa" w:w="2160"/>
          </w:tcPr>
          <w:p>
            <w:r>
              <w:t>(e) Short-term loans and advances</w:t>
            </w:r>
          </w:p>
        </w:tc>
        <w:tc>
          <w:tcPr>
            <w:tcW w:type="dxa" w:w="2160"/>
          </w:tcPr>
          <w:p>
            <w:r>
              <w:t>20</w:t>
            </w:r>
          </w:p>
        </w:tc>
        <w:tc>
          <w:tcPr>
            <w:tcW w:type="dxa" w:w="2160"/>
          </w:tcPr>
          <w:p>
            <w:r>
              <w:t>0.00</w:t>
            </w:r>
          </w:p>
        </w:tc>
        <w:tc>
          <w:tcPr>
            <w:tcW w:type="dxa" w:w="2160"/>
          </w:tcPr>
          <w:p>
            <w:r>
              <w:t>0.00</w:t>
            </w:r>
          </w:p>
        </w:tc>
      </w:tr>
      <w:tr>
        <w:tc>
          <w:tcPr>
            <w:tcW w:type="dxa" w:w="2160"/>
          </w:tcPr>
          <w:p>
            <w:r>
              <w:t>(f) Other current assets</w:t>
            </w:r>
          </w:p>
        </w:tc>
        <w:tc>
          <w:tcPr>
            <w:tcW w:type="dxa" w:w="2160"/>
          </w:tcPr>
          <w:p>
            <w:r>
              <w:t>21</w:t>
            </w:r>
          </w:p>
        </w:tc>
        <w:tc>
          <w:tcPr>
            <w:tcW w:type="dxa" w:w="2160"/>
          </w:tcPr>
          <w:p>
            <w:r>
              <w:t>150,000.00</w:t>
            </w:r>
          </w:p>
        </w:tc>
        <w:tc>
          <w:tcPr>
            <w:tcW w:type="dxa" w:w="2160"/>
          </w:tcPr>
          <w:p>
            <w:r>
              <w:t>0.00</w:t>
            </w:r>
          </w:p>
        </w:tc>
      </w:tr>
      <w:tr>
        <w:tc>
          <w:tcPr>
            <w:tcW w:type="dxa" w:w="2160"/>
          </w:tcPr>
          <w:p>
            <w:r>
              <w:t>TOTAL ASSETS</w:t>
            </w:r>
          </w:p>
        </w:tc>
        <w:tc>
          <w:tcPr>
            <w:tcW w:type="dxa" w:w="2160"/>
          </w:tcPr>
          <w:p>
            <w:r/>
          </w:p>
        </w:tc>
        <w:tc>
          <w:tcPr>
            <w:tcW w:type="dxa" w:w="2160"/>
          </w:tcPr>
          <w:p>
            <w:r>
              <w:t>8,037,000.00</w:t>
            </w:r>
          </w:p>
        </w:tc>
        <w:tc>
          <w:tcPr>
            <w:tcW w:type="dxa" w:w="2160"/>
          </w:tcPr>
          <w:p>
            <w:r>
              <w:t>0.00</w:t>
            </w:r>
          </w:p>
        </w:tc>
      </w:tr>
    </w:tbl>
    <w:p>
      <w:pPr>
        <w:pStyle w:val="Heading1"/>
      </w:pPr>
      <w:r>
        <w:t>2. Statement of Profit and Loss</w:t>
      </w:r>
    </w:p>
    <w:p>
      <w:r>
        <w:rPr>
          <w:b/>
        </w:rPr>
        <w:t>Total Revenue: Rs 5,572,000.00 Absolute (Prior Year: Rs 0.00 Absolute)</w:t>
        <w:br/>
      </w:r>
      <w:r>
        <w:t>Total Expenses: Rs 6,353,000.00 Absolute (Prior Year: Rs 0.00 Absolute)</w:t>
        <w:br/>
      </w:r>
      <w:r>
        <w:rPr>
          <w:b/>
        </w:rPr>
        <w:t>Profit After Tax (PAT): Rs -781,000.00 Absolute (Prior Year: Rs 0.00 Absolute)</w:t>
        <w:br/>
      </w:r>
    </w:p>
    <w:p>
      <w:pPr>
        <w:pStyle w:val="Heading1"/>
      </w:pPr>
      <w:r>
        <w:t>3. Corporate Information &amp; Significant Accounting Policies (Note 1)</w:t>
      </w:r>
    </w:p>
    <w:p>
      <w:pPr>
        <w:pStyle w:val="Heading2"/>
        <w:spacing w:before="160"/>
      </w:pPr>
      <w:r>
        <w:t>1.1  Corporate Information</w:t>
      </w:r>
    </w:p>
    <w:p>
      <w:r>
        <w:t>Test Company-II Engineering India Private Limited (the 'Company') is a company incorporated under the Companies Act, 2013. The Company's CIN is U29253MH2012PTC234567. The Registered Office is at Plot 45, Industrial Zone, Thane, Maharashtra . The Company is engaged in the business of manufacturing and trading of engineering goods.</w:t>
      </w:r>
    </w:p>
    <w:p>
      <w:pPr>
        <w:pStyle w:val="Heading2"/>
        <w:spacing w:before="160"/>
      </w:pPr>
      <w:r>
        <w:t>1.2  Basis of Preparation</w:t>
      </w:r>
    </w:p>
    <w:p>
      <w:r>
        <w:t>These financial statements have been prepared in accordance with the Generally Accepted Accounting Principles in India (Indian GAAP) under the historical cost convention on an accrual basis. These financial statements comply in all material respects with the Accounting Standards notified under the Companies (Accounting Standards) Rules, 2006 as amended, and other relevant provisions of the Companies Act, 2013 and the applicable guidelines issued by the Institute of Chartered Accountants of India (ICAI). All amounts are stated in Absolute of INR unless otherwise stated.</w:t>
      </w:r>
    </w:p>
    <w:p>
      <w:pPr>
        <w:pStyle w:val="Heading2"/>
        <w:spacing w:before="160"/>
      </w:pPr>
      <w:r>
        <w:t>1.3  Use of Estimates</w:t>
      </w:r>
    </w:p>
    <w:p>
      <w:r>
        <w:t>The preparation of financial statements in conformity with Indian GAAP requires the management to make estimates and assumptions that affect the reported amounts of assets, liabilities, revenues and expenses and disclosure of contingent liabilities. Management believes that the estimates used in preparation of the financial statements are prudent and reasonable. Future results could differ from these estimates.</w:t>
      </w:r>
    </w:p>
    <w:p>
      <w:pPr>
        <w:pStyle w:val="Heading2"/>
        <w:spacing w:before="160"/>
      </w:pPr>
      <w:r>
        <w:t>1.4  Revenue Recognition</w:t>
      </w:r>
    </w:p>
    <w:p>
      <w:r>
        <w:t>Revenue from sale of goods is recognized when significant risks and rewards of ownership are transferred to the buyer, and is recorded net of trade discounts, rebates, and GST/taxes collected on behalf of the government. Interest income is recognized on a time proportion basis taking into account the amount outstanding and the rate applicable.</w:t>
      </w:r>
    </w:p>
    <w:p>
      <w:pPr>
        <w:pStyle w:val="Heading2"/>
        <w:spacing w:before="160"/>
      </w:pPr>
      <w:r>
        <w:t>1.5  Property, Plant and Equipment (PPE)</w:t>
      </w:r>
    </w:p>
    <w:p>
      <w:r>
        <w:t>PPE are stated at cost of acquisition or construction less accumulated depreciation and impairment losses, if any. Cost includes purchase price and all directly attributable expenditure incurred to bring the asset to its working condition for its intended use. Depreciation is provided on the Written Down Value (WDV) method at the rates prescribed under Schedule II of the Companies Act, 2013.</w:t>
      </w:r>
    </w:p>
    <w:p>
      <w:pPr>
        <w:pStyle w:val="Heading2"/>
        <w:spacing w:before="160"/>
      </w:pPr>
      <w:r>
        <w:t>1.6  Inventories</w:t>
      </w:r>
    </w:p>
    <w:p>
      <w:r>
        <w:t>Inventories are valued at lower of cost and net realisable value. Cost of raw materials, components, stores and spares is determined on the weighted average method. Cost of work-in-progress and finished goods includes direct materials, labour and a proportion of manufacturing overheads.</w:t>
      </w:r>
    </w:p>
    <w:p>
      <w:pPr>
        <w:pStyle w:val="Heading2"/>
        <w:spacing w:before="160"/>
      </w:pPr>
      <w:r>
        <w:t>1.7  Taxation</w:t>
      </w:r>
    </w:p>
    <w:p>
      <w:r>
        <w:t>Current tax is determined as the tax payable in respect of taxable income for the year and is calculated in accordance with the provisions of the Income Tax Act, 1961. Deferred tax is recognized for all timing differences between accounting income and taxable income using the liability method. Deferred tax assets are recognized only if there is virtual certainty of realisation.</w:t>
      </w:r>
    </w:p>
    <w:p>
      <w:pPr>
        <w:pStyle w:val="Heading2"/>
        <w:spacing w:before="160"/>
      </w:pPr>
      <w:r>
        <w:t>1.8  Employee Benefits</w:t>
      </w:r>
    </w:p>
    <w:p>
      <w:r>
        <w:t>Short-term employee benefits are recognized as an expense in the Statement of Profit and Loss in the year in which the related service is rendered. Gratuity (defined benefit plan) liability is determined based on actuarial valuation using the Projected Unit Credit method. Provident Fund contributions are charged to the Statement of Profit and Loss as incurred.</w:t>
      </w:r>
    </w:p>
    <w:p>
      <w:pPr>
        <w:pStyle w:val="Heading2"/>
        <w:spacing w:before="160"/>
      </w:pPr>
      <w:r>
        <w:t>1.9  Foreign Currency Transactions</w:t>
      </w:r>
    </w:p>
    <w:p>
      <w:r>
        <w:t>Transactions denominated in foreign currencies are recorded at the exchange rate prevailing on the date of the transaction. Monetary items denominated in foreign currencies at the year-end are restated at year-end rates. Exchange differences arising on settlement / restatement are recognised in the Statement of Profit and Loss.</w:t>
      </w:r>
    </w:p>
    <w:p>
      <w:pPr>
        <w:pStyle w:val="Heading1"/>
      </w:pPr>
      <w:r>
        <w:t>4. Notes &amp; Financial Schedules (Notes 2 to 29)</w:t>
      </w:r>
    </w:p>
    <w:p>
      <w:pPr>
        <w:pStyle w:val="Heading2"/>
      </w:pPr>
      <w:r>
        <w:t>Note 2: Share Capital</w:t>
      </w:r>
    </w:p>
    <w:p>
      <w:pPr>
        <w:pStyle w:val="Heading3"/>
      </w:pPr>
      <w:r>
        <w:t>Authorised, Issued, Subscribed and Paid-up Capital</w:t>
      </w:r>
    </w:p>
    <w:tbl>
      <w:tblPr>
        <w:tblW w:type="auto" w:w="0"/>
        <w:jc w:val="center"/>
        <w:tblLook w:firstColumn="1" w:firstRow="1" w:lastColumn="0" w:lastRow="0" w:noHBand="0" w:noVBand="1" w:val="04A0"/>
      </w:tblPr>
      <w:tblGrid>
        <w:gridCol w:w="2880"/>
        <w:gridCol w:w="2880"/>
        <w:gridCol w:w="2880"/>
      </w:tblGrid>
      <w:tr>
        <w:tc>
          <w:tcPr>
            <w:tcW w:type="dxa" w:w="2880"/>
          </w:tcPr>
          <w:p>
            <w:r>
              <w:t>Particulars</w:t>
            </w:r>
          </w:p>
        </w:tc>
        <w:tc>
          <w:tcPr>
            <w:tcW w:type="dxa" w:w="2880"/>
          </w:tcPr>
          <w:p>
            <w:r>
              <w:t>As at 31st March 26</w:t>
            </w:r>
          </w:p>
        </w:tc>
        <w:tc>
          <w:tcPr>
            <w:tcW w:type="dxa" w:w="2880"/>
          </w:tcPr>
          <w:p>
            <w:r>
              <w:t>As at 31st March 25</w:t>
            </w:r>
          </w:p>
        </w:tc>
      </w:tr>
      <w:tr>
        <w:tc>
          <w:tcPr>
            <w:tcW w:type="dxa" w:w="2880"/>
          </w:tcPr>
          <w:p>
            <w:r>
              <w:t>Authorised Share Capital</w:t>
            </w:r>
          </w:p>
        </w:tc>
        <w:tc>
          <w:tcPr>
            <w:tcW w:type="dxa" w:w="2880"/>
          </w:tcPr>
          <w:p>
            <w:r/>
          </w:p>
        </w:tc>
        <w:tc>
          <w:tcPr>
            <w:tcW w:type="dxa" w:w="2880"/>
          </w:tcPr>
          <w:p>
            <w:r/>
          </w:p>
        </w:tc>
      </w:tr>
      <w:tr>
        <w:tc>
          <w:tcPr>
            <w:tcW w:type="dxa" w:w="2880"/>
          </w:tcPr>
          <w:p>
            <w:r>
              <w:t>10,00,000 Equity Shares of ₹10/- each</w:t>
            </w:r>
          </w:p>
        </w:tc>
        <w:tc>
          <w:tcPr>
            <w:tcW w:type="dxa" w:w="2880"/>
          </w:tcPr>
          <w:p>
            <w:r>
              <w:t>5,000,000.00</w:t>
            </w:r>
          </w:p>
        </w:tc>
        <w:tc>
          <w:tcPr>
            <w:tcW w:type="dxa" w:w="2880"/>
          </w:tcPr>
          <w:p>
            <w:r>
              <w:t>0.00</w:t>
            </w:r>
          </w:p>
        </w:tc>
      </w:tr>
      <w:tr>
        <w:tc>
          <w:tcPr>
            <w:tcW w:type="dxa" w:w="2880"/>
          </w:tcPr>
          <w:p>
            <w:r>
              <w:t>Issued, Subscribed &amp; Fully Paid-up</w:t>
            </w:r>
          </w:p>
        </w:tc>
        <w:tc>
          <w:tcPr>
            <w:tcW w:type="dxa" w:w="2880"/>
          </w:tcPr>
          <w:p>
            <w:r/>
          </w:p>
        </w:tc>
        <w:tc>
          <w:tcPr>
            <w:tcW w:type="dxa" w:w="2880"/>
          </w:tcPr>
          <w:p>
            <w:r/>
          </w:p>
        </w:tc>
      </w:tr>
      <w:tr>
        <w:tc>
          <w:tcPr>
            <w:tcW w:type="dxa" w:w="2880"/>
          </w:tcPr>
          <w:p>
            <w:r>
              <w:t>10,00,000 Equity Shares of ₹10/- each fully paid-up</w:t>
            </w:r>
          </w:p>
        </w:tc>
        <w:tc>
          <w:tcPr>
            <w:tcW w:type="dxa" w:w="2880"/>
          </w:tcPr>
          <w:p>
            <w:r>
              <w:t>5,000,000.00</w:t>
            </w:r>
          </w:p>
        </w:tc>
        <w:tc>
          <w:tcPr>
            <w:tcW w:type="dxa" w:w="2880"/>
          </w:tcPr>
          <w:p>
            <w:r>
              <w:t>0.00</w:t>
            </w:r>
          </w:p>
        </w:tc>
      </w:tr>
      <w:tr>
        <w:tc>
          <w:tcPr>
            <w:tcW w:type="dxa" w:w="2880"/>
          </w:tcPr>
          <w:p>
            <w:r>
              <w:t>TOTAL</w:t>
            </w:r>
          </w:p>
        </w:tc>
        <w:tc>
          <w:tcPr>
            <w:tcW w:type="dxa" w:w="2880"/>
          </w:tcPr>
          <w:p>
            <w:r>
              <w:t>5,000,000.00</w:t>
            </w:r>
          </w:p>
        </w:tc>
        <w:tc>
          <w:tcPr>
            <w:tcW w:type="dxa" w:w="2880"/>
          </w:tcPr>
          <w:p>
            <w:r>
              <w:t>0.00</w:t>
            </w:r>
          </w:p>
        </w:tc>
      </w:tr>
    </w:tbl>
    <w:p>
      <w:pPr>
        <w:pStyle w:val="Heading3"/>
      </w:pPr>
      <w:r>
        <w:t>Rights, Preferences and Restrictions</w:t>
      </w:r>
    </w:p>
    <w:p>
      <w:r>
        <w:t>The Company has only one class of equity shares having a par value of ₹10 per share. Each holder of equity shares is entitled to one vote per share. In the event of liquidation of the Company, the holders of equity shares will be entitled to receive remaining assets of the Company, after distribution of all preferential amounts. The distribution will be in proportion to the number of equity shares held by the shareholders.</w:t>
      </w:r>
    </w:p>
    <w:p>
      <w:pPr>
        <w:pStyle w:val="Heading3"/>
      </w:pPr>
      <w:r>
        <w:t>Shareholders holding more than 5% shares</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Pr>
          <w:p>
            <w:r>
              <w:t>Name of Shareholder</w:t>
            </w:r>
          </w:p>
        </w:tc>
        <w:tc>
          <w:tcPr>
            <w:tcW w:type="dxa" w:w="1728"/>
          </w:tcPr>
          <w:p>
            <w:r>
              <w:t>No. of Shares (31st March 26)</w:t>
            </w:r>
          </w:p>
        </w:tc>
        <w:tc>
          <w:tcPr>
            <w:tcW w:type="dxa" w:w="1728"/>
          </w:tcPr>
          <w:p>
            <w:r>
              <w:t>% Holding</w:t>
            </w:r>
          </w:p>
        </w:tc>
        <w:tc>
          <w:tcPr>
            <w:tcW w:type="dxa" w:w="1728"/>
          </w:tcPr>
          <w:p>
            <w:r>
              <w:t>No. of Shares (31st March 25)</w:t>
            </w:r>
          </w:p>
        </w:tc>
        <w:tc>
          <w:tcPr>
            <w:tcW w:type="dxa" w:w="1728"/>
          </w:tcPr>
          <w:p>
            <w:r>
              <w:t>% Holding</w:t>
            </w:r>
          </w:p>
        </w:tc>
      </w:tr>
      <w:tr>
        <w:tc>
          <w:tcPr>
            <w:tcW w:type="dxa" w:w="1728"/>
          </w:tcPr>
          <w:p>
            <w:r>
              <w:t>[Name of Promoter / Major Shareholder]</w:t>
            </w:r>
          </w:p>
        </w:tc>
        <w:tc>
          <w:tcPr>
            <w:tcW w:type="dxa" w:w="1728"/>
          </w:tcPr>
          <w:p>
            <w:r>
              <w:t>—</w:t>
            </w:r>
          </w:p>
        </w:tc>
        <w:tc>
          <w:tcPr>
            <w:tcW w:type="dxa" w:w="1728"/>
          </w:tcPr>
          <w:p>
            <w:r>
              <w:t>—%</w:t>
            </w:r>
          </w:p>
        </w:tc>
        <w:tc>
          <w:tcPr>
            <w:tcW w:type="dxa" w:w="1728"/>
          </w:tcPr>
          <w:p>
            <w:r>
              <w:t>—</w:t>
            </w:r>
          </w:p>
        </w:tc>
        <w:tc>
          <w:tcPr>
            <w:tcW w:type="dxa" w:w="1728"/>
          </w:tcPr>
          <w:p>
            <w:r>
              <w:t>—%</w:t>
            </w:r>
          </w:p>
        </w:tc>
      </w:tr>
    </w:tbl>
    <w:p>
      <w:r>
        <w:rPr>
          <w:b/>
        </w:rPr>
        <w:t>Additional Auditor Remarks &amp; Disclosures (Note 2):</w:t>
        <w:br/>
      </w:r>
      <w:r>
        <w:rPr>
          <w:i/>
        </w:rPr>
        <w:t>Equity shares carry one vote per share and rights to dividend declared. No shares reserved for options.</w:t>
      </w:r>
    </w:p>
    <w:p>
      <w:pPr>
        <w:pStyle w:val="Heading2"/>
      </w:pPr>
      <w:r>
        <w:t>Note 3: Reserves and Surplus</w:t>
      </w:r>
    </w:p>
    <w:tbl>
      <w:tblPr>
        <w:tblW w:type="auto" w:w="0"/>
        <w:jc w:val="center"/>
        <w:tblLook w:firstColumn="1" w:firstRow="1" w:lastColumn="0" w:lastRow="0" w:noHBand="0" w:noVBand="1" w:val="04A0"/>
      </w:tblPr>
      <w:tblGrid>
        <w:gridCol w:w="2880"/>
        <w:gridCol w:w="2880"/>
        <w:gridCol w:w="2880"/>
      </w:tblGrid>
      <w:tr>
        <w:tc>
          <w:tcPr>
            <w:tcW w:type="dxa" w:w="2880"/>
          </w:tcPr>
          <w:p>
            <w:r>
              <w:t>Particulars</w:t>
            </w:r>
          </w:p>
        </w:tc>
        <w:tc>
          <w:tcPr>
            <w:tcW w:type="dxa" w:w="2880"/>
          </w:tcPr>
          <w:p>
            <w:r>
              <w:t>As at 31st March 26</w:t>
            </w:r>
          </w:p>
        </w:tc>
        <w:tc>
          <w:tcPr>
            <w:tcW w:type="dxa" w:w="2880"/>
          </w:tcPr>
          <w:p>
            <w:r>
              <w:t>As at 31st March 25</w:t>
            </w:r>
          </w:p>
        </w:tc>
      </w:tr>
      <w:tr>
        <w:tc>
          <w:tcPr>
            <w:tcW w:type="dxa" w:w="2880"/>
          </w:tcPr>
          <w:p>
            <w:r>
              <w:t>Add: Profit for the year transferred from Statement of P&amp;L</w:t>
            </w:r>
          </w:p>
        </w:tc>
        <w:tc>
          <w:tcPr>
            <w:tcW w:type="dxa" w:w="2880"/>
          </w:tcPr>
          <w:p>
            <w:r>
              <w:t>-781,000.00</w:t>
            </w:r>
          </w:p>
        </w:tc>
        <w:tc>
          <w:tcPr>
            <w:tcW w:type="dxa" w:w="2880"/>
          </w:tcPr>
          <w:p>
            <w:r>
              <w:t>0.00</w:t>
            </w:r>
          </w:p>
        </w:tc>
      </w:tr>
      <w:tr>
        <w:tc>
          <w:tcPr>
            <w:tcW w:type="dxa" w:w="2880"/>
          </w:tcPr>
          <w:p>
            <w:r>
              <w:t>TOTAL</w:t>
            </w:r>
          </w:p>
        </w:tc>
        <w:tc>
          <w:tcPr>
            <w:tcW w:type="dxa" w:w="2880"/>
          </w:tcPr>
          <w:p>
            <w:r>
              <w:t>-781,000.00</w:t>
            </w:r>
          </w:p>
        </w:tc>
        <w:tc>
          <w:tcPr>
            <w:tcW w:type="dxa" w:w="2880"/>
          </w:tcPr>
          <w:p>
            <w:r>
              <w:t>0.00</w:t>
            </w:r>
          </w:p>
        </w:tc>
      </w:tr>
    </w:tbl>
    <w:p>
      <w:pPr>
        <w:pStyle w:val="Heading2"/>
      </w:pPr>
      <w:r>
        <w:t>Note 4: Long-Term Borrowings</w:t>
      </w:r>
    </w:p>
    <w:tbl>
      <w:tblPr>
        <w:tblW w:type="auto" w:w="0"/>
        <w:jc w:val="center"/>
        <w:tblLook w:firstColumn="1" w:firstRow="1" w:lastColumn="0" w:lastRow="0" w:noHBand="0" w:noVBand="1" w:val="04A0"/>
      </w:tblPr>
      <w:tblGrid>
        <w:gridCol w:w="2880"/>
        <w:gridCol w:w="2880"/>
        <w:gridCol w:w="2880"/>
      </w:tblGrid>
      <w:tr>
        <w:tc>
          <w:tcPr>
            <w:tcW w:type="dxa" w:w="2880"/>
          </w:tcPr>
          <w:p>
            <w:r>
              <w:t>Particulars</w:t>
            </w:r>
          </w:p>
        </w:tc>
        <w:tc>
          <w:tcPr>
            <w:tcW w:type="dxa" w:w="2880"/>
          </w:tcPr>
          <w:p>
            <w:r>
              <w:t>As at 31st March 26</w:t>
            </w:r>
          </w:p>
        </w:tc>
        <w:tc>
          <w:tcPr>
            <w:tcW w:type="dxa" w:w="2880"/>
          </w:tcPr>
          <w:p>
            <w:r>
              <w:t>As at 31st March 25</w:t>
            </w:r>
          </w:p>
        </w:tc>
      </w:tr>
      <w:tr>
        <w:tc>
          <w:tcPr>
            <w:tcW w:type="dxa" w:w="2880"/>
          </w:tcPr>
          <w:p>
            <w:r>
              <w:t>HDFC Term Loan</w:t>
            </w:r>
          </w:p>
        </w:tc>
        <w:tc>
          <w:tcPr>
            <w:tcW w:type="dxa" w:w="2880"/>
          </w:tcPr>
          <w:p>
            <w:r>
              <w:t>2,000,000.00</w:t>
            </w:r>
          </w:p>
        </w:tc>
        <w:tc>
          <w:tcPr>
            <w:tcW w:type="dxa" w:w="2880"/>
          </w:tcPr>
          <w:p>
            <w:r>
              <w:t>0.00</w:t>
            </w:r>
          </w:p>
        </w:tc>
      </w:tr>
      <w:tr>
        <w:tc>
          <w:tcPr>
            <w:tcW w:type="dxa" w:w="2880"/>
          </w:tcPr>
          <w:p>
            <w:r>
              <w:t>TOTAL</w:t>
            </w:r>
          </w:p>
        </w:tc>
        <w:tc>
          <w:tcPr>
            <w:tcW w:type="dxa" w:w="2880"/>
          </w:tcPr>
          <w:p>
            <w:r>
              <w:t>2,000,000.00</w:t>
            </w:r>
          </w:p>
        </w:tc>
        <w:tc>
          <w:tcPr>
            <w:tcW w:type="dxa" w:w="2880"/>
          </w:tcPr>
          <w:p>
            <w:r>
              <w:t>0.00</w:t>
            </w:r>
          </w:p>
        </w:tc>
      </w:tr>
    </w:tbl>
    <w:p>
      <w:pPr>
        <w:pStyle w:val="Heading2"/>
      </w:pPr>
      <w:r>
        <w:t>Note 5: Deferred Tax Assets / (Liabilities) — Net</w:t>
      </w:r>
    </w:p>
    <w:tbl>
      <w:tblPr>
        <w:tblW w:type="auto" w:w="0"/>
        <w:jc w:val="center"/>
        <w:tblLook w:firstColumn="1" w:firstRow="1" w:lastColumn="0" w:lastRow="0" w:noHBand="0" w:noVBand="1" w:val="04A0"/>
      </w:tblPr>
      <w:tblGrid>
        <w:gridCol w:w="2880"/>
        <w:gridCol w:w="2880"/>
        <w:gridCol w:w="2880"/>
      </w:tblGrid>
      <w:tr>
        <w:tc>
          <w:tcPr>
            <w:tcW w:type="dxa" w:w="2880"/>
          </w:tcPr>
          <w:p>
            <w:r>
              <w:t>Particulars</w:t>
            </w:r>
          </w:p>
        </w:tc>
        <w:tc>
          <w:tcPr>
            <w:tcW w:type="dxa" w:w="2880"/>
          </w:tcPr>
          <w:p>
            <w:r>
              <w:t>As at 31st March 26</w:t>
            </w:r>
          </w:p>
        </w:tc>
        <w:tc>
          <w:tcPr>
            <w:tcW w:type="dxa" w:w="2880"/>
          </w:tcPr>
          <w:p>
            <w:r>
              <w:t>As at 31st March 25</w:t>
            </w:r>
          </w:p>
        </w:tc>
      </w:tr>
      <w:tr>
        <w:tc>
          <w:tcPr>
            <w:tcW w:type="dxa" w:w="2880"/>
          </w:tcPr>
          <w:p>
            <w:r>
              <w:t>Deferred Tax Liability on timing differences:</w:t>
            </w:r>
          </w:p>
        </w:tc>
        <w:tc>
          <w:tcPr>
            <w:tcW w:type="dxa" w:w="2880"/>
          </w:tcPr>
          <w:p>
            <w:r/>
          </w:p>
        </w:tc>
        <w:tc>
          <w:tcPr>
            <w:tcW w:type="dxa" w:w="2880"/>
          </w:tcPr>
          <w:p>
            <w:r/>
          </w:p>
        </w:tc>
      </w:tr>
      <w:tr>
        <w:tc>
          <w:tcPr>
            <w:tcW w:type="dxa" w:w="2880"/>
          </w:tcPr>
          <w:p>
            <w:r>
              <w:t xml:space="preserve">   – WDV difference in PPE (Tax vs Books)</w:t>
            </w:r>
          </w:p>
        </w:tc>
        <w:tc>
          <w:tcPr>
            <w:tcW w:type="dxa" w:w="2880"/>
          </w:tcPr>
          <w:p>
            <w:r>
              <w:t>0.00</w:t>
            </w:r>
          </w:p>
        </w:tc>
        <w:tc>
          <w:tcPr>
            <w:tcW w:type="dxa" w:w="2880"/>
          </w:tcPr>
          <w:p>
            <w:r>
              <w:t>0.00</w:t>
            </w:r>
          </w:p>
        </w:tc>
      </w:tr>
      <w:tr>
        <w:tc>
          <w:tcPr>
            <w:tcW w:type="dxa" w:w="2880"/>
          </w:tcPr>
          <w:p>
            <w:r>
              <w:t>Deferred Tax Asset on timing differences:</w:t>
            </w:r>
          </w:p>
        </w:tc>
        <w:tc>
          <w:tcPr>
            <w:tcW w:type="dxa" w:w="2880"/>
          </w:tcPr>
          <w:p>
            <w:r/>
          </w:p>
        </w:tc>
        <w:tc>
          <w:tcPr>
            <w:tcW w:type="dxa" w:w="2880"/>
          </w:tcPr>
          <w:p>
            <w:r/>
          </w:p>
        </w:tc>
      </w:tr>
      <w:tr>
        <w:tc>
          <w:tcPr>
            <w:tcW w:type="dxa" w:w="2880"/>
          </w:tcPr>
          <w:p>
            <w:r>
              <w:t xml:space="preserve">   – Provision for Gratuity (not allowed under Tax)</w:t>
            </w:r>
          </w:p>
        </w:tc>
        <w:tc>
          <w:tcPr>
            <w:tcW w:type="dxa" w:w="2880"/>
          </w:tcPr>
          <w:p>
            <w:r>
              <w:t>—</w:t>
            </w:r>
          </w:p>
        </w:tc>
        <w:tc>
          <w:tcPr>
            <w:tcW w:type="dxa" w:w="2880"/>
          </w:tcPr>
          <w:p>
            <w:r>
              <w:t>—</w:t>
            </w:r>
          </w:p>
        </w:tc>
      </w:tr>
      <w:tr>
        <w:tc>
          <w:tcPr>
            <w:tcW w:type="dxa" w:w="2880"/>
          </w:tcPr>
          <w:p>
            <w:r>
              <w:t xml:space="preserve">   – Other disallowances</w:t>
            </w:r>
          </w:p>
        </w:tc>
        <w:tc>
          <w:tcPr>
            <w:tcW w:type="dxa" w:w="2880"/>
          </w:tcPr>
          <w:p>
            <w:r>
              <w:t>—</w:t>
            </w:r>
          </w:p>
        </w:tc>
        <w:tc>
          <w:tcPr>
            <w:tcW w:type="dxa" w:w="2880"/>
          </w:tcPr>
          <w:p>
            <w:r>
              <w:t>—</w:t>
            </w:r>
          </w:p>
        </w:tc>
      </w:tr>
      <w:tr>
        <w:tc>
          <w:tcPr>
            <w:tcW w:type="dxa" w:w="2880"/>
          </w:tcPr>
          <w:p>
            <w:r>
              <w:t>NET DEFERRED TAX LIABILITY / (ASSET)</w:t>
            </w:r>
          </w:p>
        </w:tc>
        <w:tc>
          <w:tcPr>
            <w:tcW w:type="dxa" w:w="2880"/>
          </w:tcPr>
          <w:p>
            <w:r>
              <w:t>0.00</w:t>
            </w:r>
          </w:p>
        </w:tc>
        <w:tc>
          <w:tcPr>
            <w:tcW w:type="dxa" w:w="2880"/>
          </w:tcPr>
          <w:p>
            <w:r>
              <w:t>0.00</w:t>
            </w:r>
          </w:p>
        </w:tc>
      </w:tr>
    </w:tbl>
    <w:p>
      <w:pPr>
        <w:pStyle w:val="Heading2"/>
      </w:pPr>
      <w:r>
        <w:t>Note 6: Other Long-Term Liabilities</w:t>
      </w:r>
    </w:p>
    <w:tbl>
      <w:tblPr>
        <w:tblW w:type="auto" w:w="0"/>
        <w:jc w:val="center"/>
        <w:tblLook w:firstColumn="1" w:firstRow="1" w:lastColumn="0" w:lastRow="0" w:noHBand="0" w:noVBand="1" w:val="04A0"/>
      </w:tblPr>
      <w:tblGrid>
        <w:gridCol w:w="2880"/>
        <w:gridCol w:w="2880"/>
        <w:gridCol w:w="2880"/>
      </w:tblGrid>
      <w:tr>
        <w:tc>
          <w:tcPr>
            <w:tcW w:type="dxa" w:w="2880"/>
          </w:tcPr>
          <w:p>
            <w:r>
              <w:t>Particulars</w:t>
            </w:r>
          </w:p>
        </w:tc>
        <w:tc>
          <w:tcPr>
            <w:tcW w:type="dxa" w:w="2880"/>
          </w:tcPr>
          <w:p>
            <w:r>
              <w:t>As at 31st March 26</w:t>
            </w:r>
          </w:p>
        </w:tc>
        <w:tc>
          <w:tcPr>
            <w:tcW w:type="dxa" w:w="2880"/>
          </w:tcPr>
          <w:p>
            <w:r>
              <w:t>As at 31st March 25</w:t>
            </w:r>
          </w:p>
        </w:tc>
      </w:tr>
      <w:tr>
        <w:tc>
          <w:tcPr>
            <w:tcW w:type="dxa" w:w="2880"/>
          </w:tcPr>
          <w:p>
            <w:r>
              <w:t>Security deposits received from customers</w:t>
            </w:r>
          </w:p>
        </w:tc>
        <w:tc>
          <w:tcPr>
            <w:tcW w:type="dxa" w:w="2880"/>
          </w:tcPr>
          <w:p>
            <w:r>
              <w:t>—</w:t>
            </w:r>
          </w:p>
        </w:tc>
        <w:tc>
          <w:tcPr>
            <w:tcW w:type="dxa" w:w="2880"/>
          </w:tcPr>
          <w:p>
            <w:r>
              <w:t>—</w:t>
            </w:r>
          </w:p>
        </w:tc>
      </w:tr>
      <w:tr>
        <w:tc>
          <w:tcPr>
            <w:tcW w:type="dxa" w:w="2880"/>
          </w:tcPr>
          <w:p>
            <w:r>
              <w:t>Other long-term payables</w:t>
            </w:r>
          </w:p>
        </w:tc>
        <w:tc>
          <w:tcPr>
            <w:tcW w:type="dxa" w:w="2880"/>
          </w:tcPr>
          <w:p>
            <w:r>
              <w:t>0.00</w:t>
            </w:r>
          </w:p>
        </w:tc>
        <w:tc>
          <w:tcPr>
            <w:tcW w:type="dxa" w:w="2880"/>
          </w:tcPr>
          <w:p>
            <w:r>
              <w:t>0.00</w:t>
            </w:r>
          </w:p>
        </w:tc>
      </w:tr>
      <w:tr>
        <w:tc>
          <w:tcPr>
            <w:tcW w:type="dxa" w:w="2880"/>
          </w:tcPr>
          <w:p>
            <w:r>
              <w:t>TOTAL</w:t>
            </w:r>
          </w:p>
        </w:tc>
        <w:tc>
          <w:tcPr>
            <w:tcW w:type="dxa" w:w="2880"/>
          </w:tcPr>
          <w:p>
            <w:r>
              <w:t>0.00</w:t>
            </w:r>
          </w:p>
        </w:tc>
        <w:tc>
          <w:tcPr>
            <w:tcW w:type="dxa" w:w="2880"/>
          </w:tcPr>
          <w:p>
            <w:r>
              <w:t>0.00</w:t>
            </w:r>
          </w:p>
        </w:tc>
      </w:tr>
    </w:tbl>
    <w:p>
      <w:pPr>
        <w:pStyle w:val="Heading2"/>
      </w:pPr>
      <w:r>
        <w:t>Note 7: Long-Term Provisions</w:t>
      </w:r>
    </w:p>
    <w:tbl>
      <w:tblPr>
        <w:tblW w:type="auto" w:w="0"/>
        <w:jc w:val="center"/>
        <w:tblLook w:firstColumn="1" w:firstRow="1" w:lastColumn="0" w:lastRow="0" w:noHBand="0" w:noVBand="1" w:val="04A0"/>
      </w:tblPr>
      <w:tblGrid>
        <w:gridCol w:w="2880"/>
        <w:gridCol w:w="2880"/>
        <w:gridCol w:w="2880"/>
      </w:tblGrid>
      <w:tr>
        <w:tc>
          <w:tcPr>
            <w:tcW w:type="dxa" w:w="2880"/>
          </w:tcPr>
          <w:p>
            <w:r>
              <w:t>Particulars</w:t>
            </w:r>
          </w:p>
        </w:tc>
        <w:tc>
          <w:tcPr>
            <w:tcW w:type="dxa" w:w="2880"/>
          </w:tcPr>
          <w:p>
            <w:r>
              <w:t>As at 31st March 26</w:t>
            </w:r>
          </w:p>
        </w:tc>
        <w:tc>
          <w:tcPr>
            <w:tcW w:type="dxa" w:w="2880"/>
          </w:tcPr>
          <w:p>
            <w:r>
              <w:t>As at 31st March 25</w:t>
            </w:r>
          </w:p>
        </w:tc>
      </w:tr>
      <w:tr>
        <w:tc>
          <w:tcPr>
            <w:tcW w:type="dxa" w:w="2880"/>
          </w:tcPr>
          <w:p>
            <w:r>
              <w:t>TOTAL</w:t>
            </w:r>
          </w:p>
        </w:tc>
        <w:tc>
          <w:tcPr>
            <w:tcW w:type="dxa" w:w="2880"/>
          </w:tcPr>
          <w:p>
            <w:r>
              <w:t>0.00</w:t>
            </w:r>
          </w:p>
        </w:tc>
        <w:tc>
          <w:tcPr>
            <w:tcW w:type="dxa" w:w="2880"/>
          </w:tcPr>
          <w:p>
            <w:r>
              <w:t>0.00</w:t>
            </w:r>
          </w:p>
        </w:tc>
      </w:tr>
    </w:tbl>
    <w:p>
      <w:pPr>
        <w:pStyle w:val="Heading2"/>
      </w:pPr>
      <w:r>
        <w:t>Note 8: Short-Term Borrowings</w:t>
      </w:r>
    </w:p>
    <w:tbl>
      <w:tblPr>
        <w:tblW w:type="auto" w:w="0"/>
        <w:jc w:val="center"/>
        <w:tblLook w:firstColumn="1" w:firstRow="1" w:lastColumn="0" w:lastRow="0" w:noHBand="0" w:noVBand="1" w:val="04A0"/>
      </w:tblPr>
      <w:tblGrid>
        <w:gridCol w:w="2880"/>
        <w:gridCol w:w="2880"/>
        <w:gridCol w:w="2880"/>
      </w:tblGrid>
      <w:tr>
        <w:tc>
          <w:tcPr>
            <w:tcW w:type="dxa" w:w="2880"/>
          </w:tcPr>
          <w:p>
            <w:r>
              <w:t>Particulars</w:t>
            </w:r>
          </w:p>
        </w:tc>
        <w:tc>
          <w:tcPr>
            <w:tcW w:type="dxa" w:w="2880"/>
          </w:tcPr>
          <w:p>
            <w:r>
              <w:t>As at 31st March 26</w:t>
            </w:r>
          </w:p>
        </w:tc>
        <w:tc>
          <w:tcPr>
            <w:tcW w:type="dxa" w:w="2880"/>
          </w:tcPr>
          <w:p>
            <w:r>
              <w:t>As at 31st March 25</w:t>
            </w:r>
          </w:p>
        </w:tc>
      </w:tr>
      <w:tr>
        <w:tc>
          <w:tcPr>
            <w:tcW w:type="dxa" w:w="2880"/>
          </w:tcPr>
          <w:p>
            <w:r>
              <w:t>TOTAL</w:t>
            </w:r>
          </w:p>
        </w:tc>
        <w:tc>
          <w:tcPr>
            <w:tcW w:type="dxa" w:w="2880"/>
          </w:tcPr>
          <w:p>
            <w:r>
              <w:t>0.00</w:t>
            </w:r>
          </w:p>
        </w:tc>
        <w:tc>
          <w:tcPr>
            <w:tcW w:type="dxa" w:w="2880"/>
          </w:tcPr>
          <w:p>
            <w:r>
              <w:t>0.00</w:t>
            </w:r>
          </w:p>
        </w:tc>
      </w:tr>
    </w:tbl>
    <w:p>
      <w:pPr>
        <w:pStyle w:val="Heading2"/>
      </w:pPr>
      <w:r>
        <w:t>Note 9: Trade Payables</w:t>
      </w:r>
    </w:p>
    <w:tbl>
      <w:tblPr>
        <w:tblW w:type="auto" w:w="0"/>
        <w:jc w:val="center"/>
        <w:tblLook w:firstColumn="1" w:firstRow="1" w:lastColumn="0" w:lastRow="0" w:noHBand="0" w:noVBand="1" w:val="04A0"/>
      </w:tblPr>
      <w:tblGrid>
        <w:gridCol w:w="2880"/>
        <w:gridCol w:w="2880"/>
        <w:gridCol w:w="2880"/>
      </w:tblGrid>
      <w:tr>
        <w:tc>
          <w:tcPr>
            <w:tcW w:type="dxa" w:w="2880"/>
          </w:tcPr>
          <w:p>
            <w:r>
              <w:t>Particulars</w:t>
            </w:r>
          </w:p>
        </w:tc>
        <w:tc>
          <w:tcPr>
            <w:tcW w:type="dxa" w:w="2880"/>
          </w:tcPr>
          <w:p>
            <w:r>
              <w:t>As at 31st March 26</w:t>
            </w:r>
          </w:p>
        </w:tc>
        <w:tc>
          <w:tcPr>
            <w:tcW w:type="dxa" w:w="2880"/>
          </w:tcPr>
          <w:p>
            <w:r>
              <w:t>As at 31st March 25</w:t>
            </w:r>
          </w:p>
        </w:tc>
      </w:tr>
      <w:tr>
        <w:tc>
          <w:tcPr>
            <w:tcW w:type="dxa" w:w="2880"/>
          </w:tcPr>
          <w:p>
            <w:r>
              <w:t>Sundry Creditors</w:t>
            </w:r>
          </w:p>
        </w:tc>
        <w:tc>
          <w:tcPr>
            <w:tcW w:type="dxa" w:w="2880"/>
          </w:tcPr>
          <w:p>
            <w:r>
              <w:t>1,818,000.00</w:t>
            </w:r>
          </w:p>
        </w:tc>
        <w:tc>
          <w:tcPr>
            <w:tcW w:type="dxa" w:w="2880"/>
          </w:tcPr>
          <w:p>
            <w:r>
              <w:t>0.00</w:t>
            </w:r>
          </w:p>
        </w:tc>
      </w:tr>
      <w:tr>
        <w:tc>
          <w:tcPr>
            <w:tcW w:type="dxa" w:w="2880"/>
          </w:tcPr>
          <w:p>
            <w:r>
              <w:t>Total outstanding dues of MSME enterprises</w:t>
            </w:r>
          </w:p>
        </w:tc>
        <w:tc>
          <w:tcPr>
            <w:tcW w:type="dxa" w:w="2880"/>
          </w:tcPr>
          <w:p>
            <w:r>
              <w:t>0.00</w:t>
            </w:r>
          </w:p>
        </w:tc>
        <w:tc>
          <w:tcPr>
            <w:tcW w:type="dxa" w:w="2880"/>
          </w:tcPr>
          <w:p>
            <w:r>
              <w:t>0.00</w:t>
            </w:r>
          </w:p>
        </w:tc>
      </w:tr>
      <w:tr>
        <w:tc>
          <w:tcPr>
            <w:tcW w:type="dxa" w:w="2880"/>
          </w:tcPr>
          <w:p>
            <w:r>
              <w:t>Total outstanding dues of creditors other than MSME</w:t>
            </w:r>
          </w:p>
        </w:tc>
        <w:tc>
          <w:tcPr>
            <w:tcW w:type="dxa" w:w="2880"/>
          </w:tcPr>
          <w:p>
            <w:r>
              <w:t>1,818,000.00</w:t>
            </w:r>
          </w:p>
        </w:tc>
        <w:tc>
          <w:tcPr>
            <w:tcW w:type="dxa" w:w="2880"/>
          </w:tcPr>
          <w:p>
            <w:r>
              <w:t>0.00</w:t>
            </w:r>
          </w:p>
        </w:tc>
      </w:tr>
      <w:tr>
        <w:tc>
          <w:tcPr>
            <w:tcW w:type="dxa" w:w="2880"/>
          </w:tcPr>
          <w:p>
            <w:r>
              <w:t>TOTAL</w:t>
            </w:r>
          </w:p>
        </w:tc>
        <w:tc>
          <w:tcPr>
            <w:tcW w:type="dxa" w:w="2880"/>
          </w:tcPr>
          <w:p>
            <w:r>
              <w:t>1,818,000.00</w:t>
            </w:r>
          </w:p>
        </w:tc>
        <w:tc>
          <w:tcPr>
            <w:tcW w:type="dxa" w:w="2880"/>
          </w:tcPr>
          <w:p>
            <w:r>
              <w:t>0.00</w:t>
            </w:r>
          </w:p>
        </w:tc>
      </w:tr>
    </w:tbl>
    <w:p>
      <w:pPr>
        <w:pStyle w:val="Heading2"/>
      </w:pPr>
      <w:r>
        <w:t>Note 10: Other Current Liabilities</w:t>
      </w:r>
    </w:p>
    <w:tbl>
      <w:tblPr>
        <w:tblW w:type="auto" w:w="0"/>
        <w:jc w:val="center"/>
        <w:tblLook w:firstColumn="1" w:firstRow="1" w:lastColumn="0" w:lastRow="0" w:noHBand="0" w:noVBand="1" w:val="04A0"/>
      </w:tblPr>
      <w:tblGrid>
        <w:gridCol w:w="2880"/>
        <w:gridCol w:w="2880"/>
        <w:gridCol w:w="2880"/>
      </w:tblGrid>
      <w:tr>
        <w:tc>
          <w:tcPr>
            <w:tcW w:type="dxa" w:w="2880"/>
          </w:tcPr>
          <w:p>
            <w:r>
              <w:t>Particulars</w:t>
            </w:r>
          </w:p>
        </w:tc>
        <w:tc>
          <w:tcPr>
            <w:tcW w:type="dxa" w:w="2880"/>
          </w:tcPr>
          <w:p>
            <w:r>
              <w:t>As at 31st March 26</w:t>
            </w:r>
          </w:p>
        </w:tc>
        <w:tc>
          <w:tcPr>
            <w:tcW w:type="dxa" w:w="2880"/>
          </w:tcPr>
          <w:p>
            <w:r>
              <w:t>As at 31st March 25</w:t>
            </w:r>
          </w:p>
        </w:tc>
      </w:tr>
      <w:tr>
        <w:tc>
          <w:tcPr>
            <w:tcW w:type="dxa" w:w="2880"/>
          </w:tcPr>
          <w:p>
            <w:r>
              <w:t>TOTAL</w:t>
            </w:r>
          </w:p>
        </w:tc>
        <w:tc>
          <w:tcPr>
            <w:tcW w:type="dxa" w:w="2880"/>
          </w:tcPr>
          <w:p>
            <w:r>
              <w:t>0.00</w:t>
            </w:r>
          </w:p>
        </w:tc>
        <w:tc>
          <w:tcPr>
            <w:tcW w:type="dxa" w:w="2880"/>
          </w:tcPr>
          <w:p>
            <w:r>
              <w:t>0.00</w:t>
            </w:r>
          </w:p>
        </w:tc>
      </w:tr>
    </w:tbl>
    <w:p>
      <w:pPr>
        <w:pStyle w:val="Heading2"/>
      </w:pPr>
      <w:r>
        <w:t>Note 11: Short-Term Provisions</w:t>
      </w:r>
    </w:p>
    <w:tbl>
      <w:tblPr>
        <w:tblW w:type="auto" w:w="0"/>
        <w:jc w:val="center"/>
        <w:tblLook w:firstColumn="1" w:firstRow="1" w:lastColumn="0" w:lastRow="0" w:noHBand="0" w:noVBand="1" w:val="04A0"/>
      </w:tblPr>
      <w:tblGrid>
        <w:gridCol w:w="2880"/>
        <w:gridCol w:w="2880"/>
        <w:gridCol w:w="2880"/>
      </w:tblGrid>
      <w:tr>
        <w:tc>
          <w:tcPr>
            <w:tcW w:type="dxa" w:w="2880"/>
          </w:tcPr>
          <w:p>
            <w:r>
              <w:t>Particulars</w:t>
            </w:r>
          </w:p>
        </w:tc>
        <w:tc>
          <w:tcPr>
            <w:tcW w:type="dxa" w:w="2880"/>
          </w:tcPr>
          <w:p>
            <w:r>
              <w:t>As at 31st March 26</w:t>
            </w:r>
          </w:p>
        </w:tc>
        <w:tc>
          <w:tcPr>
            <w:tcW w:type="dxa" w:w="2880"/>
          </w:tcPr>
          <w:p>
            <w:r>
              <w:t>As at 31st March 25</w:t>
            </w:r>
          </w:p>
        </w:tc>
      </w:tr>
      <w:tr>
        <w:tc>
          <w:tcPr>
            <w:tcW w:type="dxa" w:w="2880"/>
          </w:tcPr>
          <w:p>
            <w:r>
              <w:t>TOTAL</w:t>
            </w:r>
          </w:p>
        </w:tc>
        <w:tc>
          <w:tcPr>
            <w:tcW w:type="dxa" w:w="2880"/>
          </w:tcPr>
          <w:p>
            <w:r>
              <w:t>0.00</w:t>
            </w:r>
          </w:p>
        </w:tc>
        <w:tc>
          <w:tcPr>
            <w:tcW w:type="dxa" w:w="2880"/>
          </w:tcPr>
          <w:p>
            <w:r>
              <w:t>0.00</w:t>
            </w:r>
          </w:p>
        </w:tc>
      </w:tr>
    </w:tbl>
    <w:p>
      <w:pPr>
        <w:pStyle w:val="Heading2"/>
      </w:pPr>
      <w:r>
        <w:t>Note 12: Property, Plant and Equipment (PPE) and Intangible Assets</w:t>
      </w:r>
    </w:p>
    <w:p>
      <w:pPr>
        <w:pStyle w:val="Heading3"/>
      </w:pPr>
      <w:r>
        <w:t>Fixed Assets Schedule</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Gross Block 26</w:t>
            </w:r>
          </w:p>
        </w:tc>
        <w:tc>
          <w:tcPr>
            <w:tcW w:type="dxa" w:w="1728"/>
          </w:tcPr>
          <w:p>
            <w:r>
              <w:t>Accum. Depreciation 26</w:t>
            </w:r>
          </w:p>
        </w:tc>
        <w:tc>
          <w:tcPr>
            <w:tcW w:type="dxa" w:w="1728"/>
          </w:tcPr>
          <w:p>
            <w:r>
              <w:t>Net Block 26</w:t>
            </w:r>
          </w:p>
        </w:tc>
        <w:tc>
          <w:tcPr>
            <w:tcW w:type="dxa" w:w="1728"/>
          </w:tcPr>
          <w:p>
            <w:r>
              <w:t>Net Block 25</w:t>
            </w:r>
          </w:p>
        </w:tc>
      </w:tr>
      <w:tr>
        <w:tc>
          <w:tcPr>
            <w:tcW w:type="dxa" w:w="1728"/>
          </w:tcPr>
          <w:p>
            <w:r>
              <w:t>Computers and IT Equipment</w:t>
            </w:r>
          </w:p>
        </w:tc>
        <w:tc>
          <w:tcPr>
            <w:tcW w:type="dxa" w:w="1728"/>
          </w:tcPr>
          <w:p>
            <w:r>
              <w:t>500,000.00</w:t>
            </w:r>
          </w:p>
        </w:tc>
        <w:tc>
          <w:tcPr>
            <w:tcW w:type="dxa" w:w="1728"/>
          </w:tcPr>
          <w:p>
            <w:r>
              <w:t>—</w:t>
            </w:r>
          </w:p>
        </w:tc>
        <w:tc>
          <w:tcPr>
            <w:tcW w:type="dxa" w:w="1728"/>
          </w:tcPr>
          <w:p>
            <w:r>
              <w:t>500,000.00</w:t>
            </w:r>
          </w:p>
        </w:tc>
        <w:tc>
          <w:tcPr>
            <w:tcW w:type="dxa" w:w="1728"/>
          </w:tcPr>
          <w:p>
            <w:r>
              <w:t>(0.00)</w:t>
            </w:r>
          </w:p>
        </w:tc>
      </w:tr>
      <w:tr>
        <w:tc>
          <w:tcPr>
            <w:tcW w:type="dxa" w:w="1728"/>
          </w:tcPr>
          <w:p>
            <w:r>
              <w:t>Plant and Machinery</w:t>
            </w:r>
          </w:p>
        </w:tc>
        <w:tc>
          <w:tcPr>
            <w:tcW w:type="dxa" w:w="1728"/>
          </w:tcPr>
          <w:p>
            <w:r>
              <w:t>1,350,000.00</w:t>
            </w:r>
          </w:p>
        </w:tc>
        <w:tc>
          <w:tcPr>
            <w:tcW w:type="dxa" w:w="1728"/>
          </w:tcPr>
          <w:p>
            <w:r>
              <w:t>—</w:t>
            </w:r>
          </w:p>
        </w:tc>
        <w:tc>
          <w:tcPr>
            <w:tcW w:type="dxa" w:w="1728"/>
          </w:tcPr>
          <w:p>
            <w:r>
              <w:t>1,350,000.00</w:t>
            </w:r>
          </w:p>
        </w:tc>
        <w:tc>
          <w:tcPr>
            <w:tcW w:type="dxa" w:w="1728"/>
          </w:tcPr>
          <w:p>
            <w:r>
              <w:t>(0.00)</w:t>
            </w:r>
          </w:p>
        </w:tc>
      </w:tr>
      <w:tr>
        <w:tc>
          <w:tcPr>
            <w:tcW w:type="dxa" w:w="1728"/>
          </w:tcPr>
          <w:p>
            <w:r>
              <w:t>Software Licenses</w:t>
            </w:r>
          </w:p>
        </w:tc>
        <w:tc>
          <w:tcPr>
            <w:tcW w:type="dxa" w:w="1728"/>
          </w:tcPr>
          <w:p>
            <w:r>
              <w:t>—</w:t>
            </w:r>
          </w:p>
        </w:tc>
        <w:tc>
          <w:tcPr>
            <w:tcW w:type="dxa" w:w="1728"/>
          </w:tcPr>
          <w:p>
            <w:r>
              <w:t>—</w:t>
            </w:r>
          </w:p>
        </w:tc>
        <w:tc>
          <w:tcPr>
            <w:tcW w:type="dxa" w:w="1728"/>
          </w:tcPr>
          <w:p>
            <w:r>
              <w:t>(40,000.00)</w:t>
            </w:r>
          </w:p>
        </w:tc>
        <w:tc>
          <w:tcPr>
            <w:tcW w:type="dxa" w:w="1728"/>
          </w:tcPr>
          <w:p>
            <w:r>
              <w:t>(0.00)</w:t>
            </w:r>
          </w:p>
        </w:tc>
      </w:tr>
      <w:tr>
        <w:tc>
          <w:tcPr>
            <w:tcW w:type="dxa" w:w="1728"/>
          </w:tcPr>
          <w:p>
            <w:r>
              <w:t>Capital Work-in-Progress</w:t>
            </w:r>
          </w:p>
        </w:tc>
        <w:tc>
          <w:tcPr>
            <w:tcW w:type="dxa" w:w="1728"/>
          </w:tcPr>
          <w:p>
            <w:r>
              <w:t>0.00</w:t>
            </w:r>
          </w:p>
        </w:tc>
        <w:tc>
          <w:tcPr>
            <w:tcW w:type="dxa" w:w="1728"/>
          </w:tcPr>
          <w:p>
            <w:r>
              <w:t>—</w:t>
            </w:r>
          </w:p>
        </w:tc>
        <w:tc>
          <w:tcPr>
            <w:tcW w:type="dxa" w:w="1728"/>
          </w:tcPr>
          <w:p>
            <w:r>
              <w:t>0.00</w:t>
            </w:r>
          </w:p>
        </w:tc>
        <w:tc>
          <w:tcPr>
            <w:tcW w:type="dxa" w:w="1728"/>
          </w:tcPr>
          <w:p>
            <w:r>
              <w:t>0.00</w:t>
            </w:r>
          </w:p>
        </w:tc>
      </w:tr>
      <w:tr>
        <w:tc>
          <w:tcPr>
            <w:tcW w:type="dxa" w:w="1728"/>
          </w:tcPr>
          <w:p>
            <w:r>
              <w:t>TOTAL PPE (Net Block)</w:t>
            </w:r>
          </w:p>
        </w:tc>
        <w:tc>
          <w:tcPr>
            <w:tcW w:type="dxa" w:w="1728"/>
          </w:tcPr>
          <w:p>
            <w:r>
              <w:t>1,850,000.00</w:t>
            </w:r>
          </w:p>
        </w:tc>
        <w:tc>
          <w:tcPr>
            <w:tcW w:type="dxa" w:w="1728"/>
          </w:tcPr>
          <w:p>
            <w:r>
              <w:t>(40,000.00)</w:t>
            </w:r>
          </w:p>
        </w:tc>
        <w:tc>
          <w:tcPr>
            <w:tcW w:type="dxa" w:w="1728"/>
          </w:tcPr>
          <w:p>
            <w:r>
              <w:t>1,810,000.00</w:t>
            </w:r>
          </w:p>
        </w:tc>
        <w:tc>
          <w:tcPr>
            <w:tcW w:type="dxa" w:w="1728"/>
          </w:tcPr>
          <w:p>
            <w:r>
              <w:t>0.00</w:t>
            </w:r>
          </w:p>
        </w:tc>
      </w:tr>
    </w:tbl>
    <w:p>
      <w:pPr>
        <w:pStyle w:val="Heading3"/>
      </w:pPr>
      <w:r>
        <w:t>Depreciation for the Year</w:t>
      </w:r>
    </w:p>
    <w:tbl>
      <w:tblPr>
        <w:tblW w:type="auto" w:w="0"/>
        <w:jc w:val="center"/>
        <w:tblLook w:firstColumn="1" w:firstRow="1" w:lastColumn="0" w:lastRow="0" w:noHBand="0" w:noVBand="1" w:val="04A0"/>
      </w:tblPr>
      <w:tblGrid>
        <w:gridCol w:w="2880"/>
        <w:gridCol w:w="2880"/>
        <w:gridCol w:w="2880"/>
      </w:tblGrid>
      <w:tr>
        <w:tc>
          <w:tcPr>
            <w:tcW w:type="dxa" w:w="2880"/>
          </w:tcPr>
          <w:p>
            <w:r>
              <w:t>Particulars</w:t>
            </w:r>
          </w:p>
        </w:tc>
        <w:tc>
          <w:tcPr>
            <w:tcW w:type="dxa" w:w="2880"/>
          </w:tcPr>
          <w:p>
            <w:r>
              <w:t>FY 26</w:t>
            </w:r>
          </w:p>
        </w:tc>
        <w:tc>
          <w:tcPr>
            <w:tcW w:type="dxa" w:w="2880"/>
          </w:tcPr>
          <w:p>
            <w:r>
              <w:t>FY 25</w:t>
            </w:r>
          </w:p>
        </w:tc>
      </w:tr>
      <w:tr>
        <w:tc>
          <w:tcPr>
            <w:tcW w:type="dxa" w:w="2880"/>
          </w:tcPr>
          <w:p>
            <w:r>
              <w:t>Depreciation charged to Statement of P&amp;L</w:t>
            </w:r>
          </w:p>
        </w:tc>
        <w:tc>
          <w:tcPr>
            <w:tcW w:type="dxa" w:w="2880"/>
          </w:tcPr>
          <w:p>
            <w:r>
              <w:t>190,000.00</w:t>
            </w:r>
          </w:p>
        </w:tc>
        <w:tc>
          <w:tcPr>
            <w:tcW w:type="dxa" w:w="2880"/>
          </w:tcPr>
          <w:p>
            <w:r>
              <w:t>0.00</w:t>
            </w:r>
          </w:p>
        </w:tc>
      </w:tr>
    </w:tbl>
    <w:p>
      <w:pPr>
        <w:pStyle w:val="Heading2"/>
      </w:pPr>
      <w:r>
        <w:t>Note 13: Non-Current Investments</w:t>
      </w:r>
    </w:p>
    <w:tbl>
      <w:tblPr>
        <w:tblW w:type="auto" w:w="0"/>
        <w:jc w:val="center"/>
        <w:tblLook w:firstColumn="1" w:firstRow="1" w:lastColumn="0" w:lastRow="0" w:noHBand="0" w:noVBand="1" w:val="04A0"/>
      </w:tblPr>
      <w:tblGrid>
        <w:gridCol w:w="2880"/>
        <w:gridCol w:w="2880"/>
        <w:gridCol w:w="2880"/>
      </w:tblGrid>
      <w:tr>
        <w:tc>
          <w:tcPr>
            <w:tcW w:type="dxa" w:w="2880"/>
          </w:tcPr>
          <w:p>
            <w:r>
              <w:t>Particulars</w:t>
            </w:r>
          </w:p>
        </w:tc>
        <w:tc>
          <w:tcPr>
            <w:tcW w:type="dxa" w:w="2880"/>
          </w:tcPr>
          <w:p>
            <w:r>
              <w:t>As at 31st March 26</w:t>
            </w:r>
          </w:p>
        </w:tc>
        <w:tc>
          <w:tcPr>
            <w:tcW w:type="dxa" w:w="2880"/>
          </w:tcPr>
          <w:p>
            <w:r>
              <w:t>As at 31st March 25</w:t>
            </w:r>
          </w:p>
        </w:tc>
      </w:tr>
      <w:tr>
        <w:tc>
          <w:tcPr>
            <w:tcW w:type="dxa" w:w="2880"/>
          </w:tcPr>
          <w:p>
            <w:r>
              <w:t>TOTAL</w:t>
            </w:r>
          </w:p>
        </w:tc>
        <w:tc>
          <w:tcPr>
            <w:tcW w:type="dxa" w:w="2880"/>
          </w:tcPr>
          <w:p>
            <w:r>
              <w:t>0.00</w:t>
            </w:r>
          </w:p>
        </w:tc>
        <w:tc>
          <w:tcPr>
            <w:tcW w:type="dxa" w:w="2880"/>
          </w:tcPr>
          <w:p>
            <w:r>
              <w:t>0.00</w:t>
            </w:r>
          </w:p>
        </w:tc>
      </w:tr>
    </w:tbl>
    <w:p>
      <w:pPr>
        <w:pStyle w:val="Heading2"/>
      </w:pPr>
      <w:r>
        <w:t>Note 14: Long-Term Loans and Advances</w:t>
      </w:r>
    </w:p>
    <w:tbl>
      <w:tblPr>
        <w:tblW w:type="auto" w:w="0"/>
        <w:jc w:val="center"/>
        <w:tblLook w:firstColumn="1" w:firstRow="1" w:lastColumn="0" w:lastRow="0" w:noHBand="0" w:noVBand="1" w:val="04A0"/>
      </w:tblPr>
      <w:tblGrid>
        <w:gridCol w:w="2880"/>
        <w:gridCol w:w="2880"/>
        <w:gridCol w:w="2880"/>
      </w:tblGrid>
      <w:tr>
        <w:tc>
          <w:tcPr>
            <w:tcW w:type="dxa" w:w="2880"/>
          </w:tcPr>
          <w:p>
            <w:r>
              <w:t>Particulars</w:t>
            </w:r>
          </w:p>
        </w:tc>
        <w:tc>
          <w:tcPr>
            <w:tcW w:type="dxa" w:w="2880"/>
          </w:tcPr>
          <w:p>
            <w:r>
              <w:t>As at 31st March 26</w:t>
            </w:r>
          </w:p>
        </w:tc>
        <w:tc>
          <w:tcPr>
            <w:tcW w:type="dxa" w:w="2880"/>
          </w:tcPr>
          <w:p>
            <w:r>
              <w:t>As at 31st March 25</w:t>
            </w:r>
          </w:p>
        </w:tc>
      </w:tr>
      <w:tr>
        <w:tc>
          <w:tcPr>
            <w:tcW w:type="dxa" w:w="2880"/>
          </w:tcPr>
          <w:p>
            <w:r>
              <w:t>Security deposits (Unsecured, Considered Good)</w:t>
            </w:r>
          </w:p>
        </w:tc>
        <w:tc>
          <w:tcPr>
            <w:tcW w:type="dxa" w:w="2880"/>
          </w:tcPr>
          <w:p>
            <w:r>
              <w:t>0.00</w:t>
            </w:r>
          </w:p>
        </w:tc>
        <w:tc>
          <w:tcPr>
            <w:tcW w:type="dxa" w:w="2880"/>
          </w:tcPr>
          <w:p>
            <w:r>
              <w:t>0.00</w:t>
            </w:r>
          </w:p>
        </w:tc>
      </w:tr>
      <w:tr>
        <w:tc>
          <w:tcPr>
            <w:tcW w:type="dxa" w:w="2880"/>
          </w:tcPr>
          <w:p>
            <w:r>
              <w:t>Advance income tax and TDS receivable (net of provisions)</w:t>
            </w:r>
          </w:p>
        </w:tc>
        <w:tc>
          <w:tcPr>
            <w:tcW w:type="dxa" w:w="2880"/>
          </w:tcPr>
          <w:p>
            <w:r>
              <w:t>—</w:t>
            </w:r>
          </w:p>
        </w:tc>
        <w:tc>
          <w:tcPr>
            <w:tcW w:type="dxa" w:w="2880"/>
          </w:tcPr>
          <w:p>
            <w:r>
              <w:t>—</w:t>
            </w:r>
          </w:p>
        </w:tc>
      </w:tr>
      <w:tr>
        <w:tc>
          <w:tcPr>
            <w:tcW w:type="dxa" w:w="2880"/>
          </w:tcPr>
          <w:p>
            <w:r>
              <w:t>Other loans and advances</w:t>
            </w:r>
          </w:p>
        </w:tc>
        <w:tc>
          <w:tcPr>
            <w:tcW w:type="dxa" w:w="2880"/>
          </w:tcPr>
          <w:p>
            <w:r>
              <w:t>—</w:t>
            </w:r>
          </w:p>
        </w:tc>
        <w:tc>
          <w:tcPr>
            <w:tcW w:type="dxa" w:w="2880"/>
          </w:tcPr>
          <w:p>
            <w:r>
              <w:t>—</w:t>
            </w:r>
          </w:p>
        </w:tc>
      </w:tr>
      <w:tr>
        <w:tc>
          <w:tcPr>
            <w:tcW w:type="dxa" w:w="2880"/>
          </w:tcPr>
          <w:p>
            <w:r>
              <w:t>TOTAL</w:t>
            </w:r>
          </w:p>
        </w:tc>
        <w:tc>
          <w:tcPr>
            <w:tcW w:type="dxa" w:w="2880"/>
          </w:tcPr>
          <w:p>
            <w:r>
              <w:t>0.00</w:t>
            </w:r>
          </w:p>
        </w:tc>
        <w:tc>
          <w:tcPr>
            <w:tcW w:type="dxa" w:w="2880"/>
          </w:tcPr>
          <w:p>
            <w:r>
              <w:t>0.00</w:t>
            </w:r>
          </w:p>
        </w:tc>
      </w:tr>
    </w:tbl>
    <w:p>
      <w:pPr>
        <w:pStyle w:val="Heading2"/>
      </w:pPr>
      <w:r>
        <w:t>Note 15: Other Non-Current Assets</w:t>
      </w:r>
    </w:p>
    <w:tbl>
      <w:tblPr>
        <w:tblW w:type="auto" w:w="0"/>
        <w:jc w:val="center"/>
        <w:tblLook w:firstColumn="1" w:firstRow="1" w:lastColumn="0" w:lastRow="0" w:noHBand="0" w:noVBand="1" w:val="04A0"/>
      </w:tblPr>
      <w:tblGrid>
        <w:gridCol w:w="2880"/>
        <w:gridCol w:w="2880"/>
        <w:gridCol w:w="2880"/>
      </w:tblGrid>
      <w:tr>
        <w:tc>
          <w:tcPr>
            <w:tcW w:type="dxa" w:w="2880"/>
          </w:tcPr>
          <w:p>
            <w:r>
              <w:t>Particulars</w:t>
            </w:r>
          </w:p>
        </w:tc>
        <w:tc>
          <w:tcPr>
            <w:tcW w:type="dxa" w:w="2880"/>
          </w:tcPr>
          <w:p>
            <w:r>
              <w:t>As at 31st March 26</w:t>
            </w:r>
          </w:p>
        </w:tc>
        <w:tc>
          <w:tcPr>
            <w:tcW w:type="dxa" w:w="2880"/>
          </w:tcPr>
          <w:p>
            <w:r>
              <w:t>As at 31st March 25</w:t>
            </w:r>
          </w:p>
        </w:tc>
      </w:tr>
      <w:tr>
        <w:tc>
          <w:tcPr>
            <w:tcW w:type="dxa" w:w="2880"/>
          </w:tcPr>
          <w:p>
            <w:r>
              <w:t>Prepaid expenses (long-term portion)</w:t>
            </w:r>
          </w:p>
        </w:tc>
        <w:tc>
          <w:tcPr>
            <w:tcW w:type="dxa" w:w="2880"/>
          </w:tcPr>
          <w:p>
            <w:r>
              <w:t>0.00</w:t>
            </w:r>
          </w:p>
        </w:tc>
        <w:tc>
          <w:tcPr>
            <w:tcW w:type="dxa" w:w="2880"/>
          </w:tcPr>
          <w:p>
            <w:r>
              <w:t>0.00</w:t>
            </w:r>
          </w:p>
        </w:tc>
      </w:tr>
      <w:tr>
        <w:tc>
          <w:tcPr>
            <w:tcW w:type="dxa" w:w="2880"/>
          </w:tcPr>
          <w:p>
            <w:r>
              <w:t>Other non-current assets</w:t>
            </w:r>
          </w:p>
        </w:tc>
        <w:tc>
          <w:tcPr>
            <w:tcW w:type="dxa" w:w="2880"/>
          </w:tcPr>
          <w:p>
            <w:r>
              <w:t>—</w:t>
            </w:r>
          </w:p>
        </w:tc>
        <w:tc>
          <w:tcPr>
            <w:tcW w:type="dxa" w:w="2880"/>
          </w:tcPr>
          <w:p>
            <w:r>
              <w:t>—</w:t>
            </w:r>
          </w:p>
        </w:tc>
      </w:tr>
      <w:tr>
        <w:tc>
          <w:tcPr>
            <w:tcW w:type="dxa" w:w="2880"/>
          </w:tcPr>
          <w:p>
            <w:r>
              <w:t>TOTAL</w:t>
            </w:r>
          </w:p>
        </w:tc>
        <w:tc>
          <w:tcPr>
            <w:tcW w:type="dxa" w:w="2880"/>
          </w:tcPr>
          <w:p>
            <w:r>
              <w:t>0.00</w:t>
            </w:r>
          </w:p>
        </w:tc>
        <w:tc>
          <w:tcPr>
            <w:tcW w:type="dxa" w:w="2880"/>
          </w:tcPr>
          <w:p>
            <w:r>
              <w:t>0.00</w:t>
            </w:r>
          </w:p>
        </w:tc>
      </w:tr>
    </w:tbl>
    <w:p>
      <w:pPr>
        <w:pStyle w:val="Heading2"/>
      </w:pPr>
      <w:r>
        <w:t>Note 16: Current Investments</w:t>
      </w:r>
    </w:p>
    <w:tbl>
      <w:tblPr>
        <w:tblW w:type="auto" w:w="0"/>
        <w:jc w:val="center"/>
        <w:tblLook w:firstColumn="1" w:firstRow="1" w:lastColumn="0" w:lastRow="0" w:noHBand="0" w:noVBand="1" w:val="04A0"/>
      </w:tblPr>
      <w:tblGrid>
        <w:gridCol w:w="2880"/>
        <w:gridCol w:w="2880"/>
        <w:gridCol w:w="2880"/>
      </w:tblGrid>
      <w:tr>
        <w:tc>
          <w:tcPr>
            <w:tcW w:type="dxa" w:w="2880"/>
          </w:tcPr>
          <w:p>
            <w:r>
              <w:t>Particulars</w:t>
            </w:r>
          </w:p>
        </w:tc>
        <w:tc>
          <w:tcPr>
            <w:tcW w:type="dxa" w:w="2880"/>
          </w:tcPr>
          <w:p>
            <w:r>
              <w:t>As at 31st March 26</w:t>
            </w:r>
          </w:p>
        </w:tc>
        <w:tc>
          <w:tcPr>
            <w:tcW w:type="dxa" w:w="2880"/>
          </w:tcPr>
          <w:p>
            <w:r>
              <w:t>As at 31st March 25</w:t>
            </w:r>
          </w:p>
        </w:tc>
      </w:tr>
      <w:tr>
        <w:tc>
          <w:tcPr>
            <w:tcW w:type="dxa" w:w="2880"/>
          </w:tcPr>
          <w:p>
            <w:r>
              <w:t>Mutual Funds / Liquid Funds (at cost / lower of cost or market value)</w:t>
            </w:r>
          </w:p>
        </w:tc>
        <w:tc>
          <w:tcPr>
            <w:tcW w:type="dxa" w:w="2880"/>
          </w:tcPr>
          <w:p>
            <w:r>
              <w:t>0.00</w:t>
            </w:r>
          </w:p>
        </w:tc>
        <w:tc>
          <w:tcPr>
            <w:tcW w:type="dxa" w:w="2880"/>
          </w:tcPr>
          <w:p>
            <w:r>
              <w:t>0.00</w:t>
            </w:r>
          </w:p>
        </w:tc>
      </w:tr>
      <w:tr>
        <w:tc>
          <w:tcPr>
            <w:tcW w:type="dxa" w:w="2880"/>
          </w:tcPr>
          <w:p>
            <w:r>
              <w:t>TOTAL</w:t>
            </w:r>
          </w:p>
        </w:tc>
        <w:tc>
          <w:tcPr>
            <w:tcW w:type="dxa" w:w="2880"/>
          </w:tcPr>
          <w:p>
            <w:r>
              <w:t>0.00</w:t>
            </w:r>
          </w:p>
        </w:tc>
        <w:tc>
          <w:tcPr>
            <w:tcW w:type="dxa" w:w="2880"/>
          </w:tcPr>
          <w:p>
            <w:r>
              <w:t>0.00</w:t>
            </w:r>
          </w:p>
        </w:tc>
      </w:tr>
    </w:tbl>
    <w:p>
      <w:pPr>
        <w:pStyle w:val="Heading2"/>
      </w:pPr>
      <w:r>
        <w:t>Note 17: Inventories</w:t>
      </w:r>
    </w:p>
    <w:p>
      <w:pPr>
        <w:pStyle w:val="Heading3"/>
      </w:pPr>
      <w:r>
        <w:t>(Valued at lower of cost and net realisable value)</w:t>
      </w:r>
    </w:p>
    <w:tbl>
      <w:tblPr>
        <w:tblW w:type="auto" w:w="0"/>
        <w:jc w:val="center"/>
        <w:tblLook w:firstColumn="1" w:firstRow="1" w:lastColumn="0" w:lastRow="0" w:noHBand="0" w:noVBand="1" w:val="04A0"/>
      </w:tblPr>
      <w:tblGrid>
        <w:gridCol w:w="2880"/>
        <w:gridCol w:w="2880"/>
        <w:gridCol w:w="2880"/>
      </w:tblGrid>
      <w:tr>
        <w:tc>
          <w:tcPr>
            <w:tcW w:type="dxa" w:w="2880"/>
          </w:tcPr>
          <w:p>
            <w:r>
              <w:t>Particulars</w:t>
            </w:r>
          </w:p>
        </w:tc>
        <w:tc>
          <w:tcPr>
            <w:tcW w:type="dxa" w:w="2880"/>
          </w:tcPr>
          <w:p>
            <w:r>
              <w:t>As at 31st March 26</w:t>
            </w:r>
          </w:p>
        </w:tc>
        <w:tc>
          <w:tcPr>
            <w:tcW w:type="dxa" w:w="2880"/>
          </w:tcPr>
          <w:p>
            <w:r>
              <w:t>As at 31st March 25</w:t>
            </w:r>
          </w:p>
        </w:tc>
      </w:tr>
      <w:tr>
        <w:tc>
          <w:tcPr>
            <w:tcW w:type="dxa" w:w="2880"/>
          </w:tcPr>
          <w:p>
            <w:r>
              <w:t>TOTAL</w:t>
            </w:r>
          </w:p>
        </w:tc>
        <w:tc>
          <w:tcPr>
            <w:tcW w:type="dxa" w:w="2880"/>
          </w:tcPr>
          <w:p>
            <w:r>
              <w:t>0.00</w:t>
            </w:r>
          </w:p>
        </w:tc>
        <w:tc>
          <w:tcPr>
            <w:tcW w:type="dxa" w:w="2880"/>
          </w:tcPr>
          <w:p>
            <w:r>
              <w:t>0.00</w:t>
            </w:r>
          </w:p>
        </w:tc>
      </w:tr>
    </w:tbl>
    <w:p>
      <w:pPr>
        <w:pStyle w:val="Heading2"/>
      </w:pPr>
      <w:r>
        <w:t>Note 18: Trade Receivables</w:t>
      </w:r>
    </w:p>
    <w:tbl>
      <w:tblPr>
        <w:tblW w:type="auto" w:w="0"/>
        <w:jc w:val="center"/>
        <w:tblLook w:firstColumn="1" w:firstRow="1" w:lastColumn="0" w:lastRow="0" w:noHBand="0" w:noVBand="1" w:val="04A0"/>
      </w:tblPr>
      <w:tblGrid>
        <w:gridCol w:w="2880"/>
        <w:gridCol w:w="2880"/>
        <w:gridCol w:w="2880"/>
      </w:tblGrid>
      <w:tr>
        <w:tc>
          <w:tcPr>
            <w:tcW w:type="dxa" w:w="2880"/>
          </w:tcPr>
          <w:p>
            <w:r>
              <w:t>Particulars</w:t>
            </w:r>
          </w:p>
        </w:tc>
        <w:tc>
          <w:tcPr>
            <w:tcW w:type="dxa" w:w="2880"/>
          </w:tcPr>
          <w:p>
            <w:r>
              <w:t>As at 31st March 26</w:t>
            </w:r>
          </w:p>
        </w:tc>
        <w:tc>
          <w:tcPr>
            <w:tcW w:type="dxa" w:w="2880"/>
          </w:tcPr>
          <w:p>
            <w:r>
              <w:t>As at 31st March 25</w:t>
            </w:r>
          </w:p>
        </w:tc>
      </w:tr>
      <w:tr>
        <w:tc>
          <w:tcPr>
            <w:tcW w:type="dxa" w:w="2880"/>
          </w:tcPr>
          <w:p>
            <w:r>
              <w:t>Sundry Debtors</w:t>
            </w:r>
          </w:p>
        </w:tc>
        <w:tc>
          <w:tcPr>
            <w:tcW w:type="dxa" w:w="2880"/>
          </w:tcPr>
          <w:p>
            <w:r>
              <w:t>3,101,000.00</w:t>
            </w:r>
          </w:p>
        </w:tc>
        <w:tc>
          <w:tcPr>
            <w:tcW w:type="dxa" w:w="2880"/>
          </w:tcPr>
          <w:p>
            <w:r>
              <w:t>0.00</w:t>
            </w:r>
          </w:p>
        </w:tc>
      </w:tr>
      <w:tr>
        <w:tc>
          <w:tcPr>
            <w:tcW w:type="dxa" w:w="2880"/>
          </w:tcPr>
          <w:p>
            <w:r>
              <w:t>TOTAL</w:t>
            </w:r>
          </w:p>
        </w:tc>
        <w:tc>
          <w:tcPr>
            <w:tcW w:type="dxa" w:w="2880"/>
          </w:tcPr>
          <w:p>
            <w:r>
              <w:t>3,101,000.00</w:t>
            </w:r>
          </w:p>
        </w:tc>
        <w:tc>
          <w:tcPr>
            <w:tcW w:type="dxa" w:w="2880"/>
          </w:tcPr>
          <w:p>
            <w:r>
              <w:t>0.00</w:t>
            </w:r>
          </w:p>
        </w:tc>
      </w:tr>
    </w:tbl>
    <w:p>
      <w:pPr>
        <w:pStyle w:val="Heading3"/>
      </w:pPr>
      <w:r>
        <w:t>Ageing Schedule of Trade Receivables</w:t>
      </w:r>
    </w:p>
    <w:tbl>
      <w:tblPr>
        <w:tblW w:type="auto" w:w="0"/>
        <w:jc w:val="center"/>
        <w:tblLook w:firstColumn="1" w:firstRow="1" w:lastColumn="0" w:lastRow="0" w:noHBand="0" w:noVBand="1" w:val="04A0"/>
      </w:tblPr>
      <w:tblGrid>
        <w:gridCol w:w="2160"/>
        <w:gridCol w:w="2160"/>
        <w:gridCol w:w="2160"/>
        <w:gridCol w:w="2160"/>
      </w:tblGrid>
      <w:tr>
        <w:tc>
          <w:tcPr>
            <w:tcW w:type="dxa" w:w="2160"/>
          </w:tcPr>
          <w:p>
            <w:r>
              <w:t>Category</w:t>
            </w:r>
          </w:p>
        </w:tc>
        <w:tc>
          <w:tcPr>
            <w:tcW w:type="dxa" w:w="2160"/>
          </w:tcPr>
          <w:p>
            <w:r>
              <w:t>Outstanding for &lt; 6 months</w:t>
            </w:r>
          </w:p>
        </w:tc>
        <w:tc>
          <w:tcPr>
            <w:tcW w:type="dxa" w:w="2160"/>
          </w:tcPr>
          <w:p>
            <w:r>
              <w:t>Outstanding for &gt; 6 months</w:t>
            </w:r>
          </w:p>
        </w:tc>
        <w:tc>
          <w:tcPr>
            <w:tcW w:type="dxa" w:w="2160"/>
          </w:tcPr>
          <w:p>
            <w:r>
              <w:t>TOTAL</w:t>
            </w:r>
          </w:p>
        </w:tc>
      </w:tr>
      <w:tr>
        <w:tc>
          <w:tcPr>
            <w:tcW w:type="dxa" w:w="2160"/>
          </w:tcPr>
          <w:p>
            <w:r>
              <w:t>Undisputed – Considered Good</w:t>
            </w:r>
          </w:p>
        </w:tc>
        <w:tc>
          <w:tcPr>
            <w:tcW w:type="dxa" w:w="2160"/>
          </w:tcPr>
          <w:p>
            <w:r>
              <w:t>—</w:t>
            </w:r>
          </w:p>
        </w:tc>
        <w:tc>
          <w:tcPr>
            <w:tcW w:type="dxa" w:w="2160"/>
          </w:tcPr>
          <w:p>
            <w:r>
              <w:t>—</w:t>
            </w:r>
          </w:p>
        </w:tc>
        <w:tc>
          <w:tcPr>
            <w:tcW w:type="dxa" w:w="2160"/>
          </w:tcPr>
          <w:p>
            <w:r>
              <w:t>3,101,000.00</w:t>
            </w:r>
          </w:p>
        </w:tc>
      </w:tr>
      <w:tr>
        <w:tc>
          <w:tcPr>
            <w:tcW w:type="dxa" w:w="2160"/>
          </w:tcPr>
          <w:p>
            <w:r>
              <w:t>Undisputed – Considered Doubtful</w:t>
            </w:r>
          </w:p>
        </w:tc>
        <w:tc>
          <w:tcPr>
            <w:tcW w:type="dxa" w:w="2160"/>
          </w:tcPr>
          <w:p>
            <w:r>
              <w:t>—</w:t>
            </w:r>
          </w:p>
        </w:tc>
        <w:tc>
          <w:tcPr>
            <w:tcW w:type="dxa" w:w="2160"/>
          </w:tcPr>
          <w:p>
            <w:r>
              <w:t>—</w:t>
            </w:r>
          </w:p>
        </w:tc>
        <w:tc>
          <w:tcPr>
            <w:tcW w:type="dxa" w:w="2160"/>
          </w:tcPr>
          <w:p>
            <w:r>
              <w:t>—</w:t>
            </w:r>
          </w:p>
        </w:tc>
      </w:tr>
      <w:tr>
        <w:tc>
          <w:tcPr>
            <w:tcW w:type="dxa" w:w="2160"/>
          </w:tcPr>
          <w:p>
            <w:r>
              <w:t>Disputed – Considered Good</w:t>
            </w:r>
          </w:p>
        </w:tc>
        <w:tc>
          <w:tcPr>
            <w:tcW w:type="dxa" w:w="2160"/>
          </w:tcPr>
          <w:p>
            <w:r>
              <w:t>—</w:t>
            </w:r>
          </w:p>
        </w:tc>
        <w:tc>
          <w:tcPr>
            <w:tcW w:type="dxa" w:w="2160"/>
          </w:tcPr>
          <w:p>
            <w:r>
              <w:t>—</w:t>
            </w:r>
          </w:p>
        </w:tc>
        <w:tc>
          <w:tcPr>
            <w:tcW w:type="dxa" w:w="2160"/>
          </w:tcPr>
          <w:p>
            <w:r>
              <w:t>—</w:t>
            </w:r>
          </w:p>
        </w:tc>
      </w:tr>
      <w:tr>
        <w:tc>
          <w:tcPr>
            <w:tcW w:type="dxa" w:w="2160"/>
          </w:tcPr>
          <w:p>
            <w:r>
              <w:t>Disputed – Considered Doubtful</w:t>
            </w:r>
          </w:p>
        </w:tc>
        <w:tc>
          <w:tcPr>
            <w:tcW w:type="dxa" w:w="2160"/>
          </w:tcPr>
          <w:p>
            <w:r>
              <w:t>—</w:t>
            </w:r>
          </w:p>
        </w:tc>
        <w:tc>
          <w:tcPr>
            <w:tcW w:type="dxa" w:w="2160"/>
          </w:tcPr>
          <w:p>
            <w:r>
              <w:t>—</w:t>
            </w:r>
          </w:p>
        </w:tc>
        <w:tc>
          <w:tcPr>
            <w:tcW w:type="dxa" w:w="2160"/>
          </w:tcPr>
          <w:p>
            <w:r>
              <w:t>—</w:t>
            </w:r>
          </w:p>
        </w:tc>
      </w:tr>
      <w:tr>
        <w:tc>
          <w:tcPr>
            <w:tcW w:type="dxa" w:w="2160"/>
          </w:tcPr>
          <w:p>
            <w:r>
              <w:t>TOTAL</w:t>
            </w:r>
          </w:p>
        </w:tc>
        <w:tc>
          <w:tcPr>
            <w:tcW w:type="dxa" w:w="2160"/>
          </w:tcPr>
          <w:p>
            <w:r>
              <w:t>—</w:t>
            </w:r>
          </w:p>
        </w:tc>
        <w:tc>
          <w:tcPr>
            <w:tcW w:type="dxa" w:w="2160"/>
          </w:tcPr>
          <w:p>
            <w:r>
              <w:t>—</w:t>
            </w:r>
          </w:p>
        </w:tc>
        <w:tc>
          <w:tcPr>
            <w:tcW w:type="dxa" w:w="2160"/>
          </w:tcPr>
          <w:p>
            <w:r>
              <w:t>3,101,000.00</w:t>
            </w:r>
          </w:p>
        </w:tc>
      </w:tr>
    </w:tbl>
    <w:p>
      <w:pPr>
        <w:pStyle w:val="Heading2"/>
      </w:pPr>
      <w:r>
        <w:t>Note 19: Cash and Cash Equivalents</w:t>
      </w:r>
    </w:p>
    <w:tbl>
      <w:tblPr>
        <w:tblW w:type="auto" w:w="0"/>
        <w:jc w:val="center"/>
        <w:tblLook w:firstColumn="1" w:firstRow="1" w:lastColumn="0" w:lastRow="0" w:noHBand="0" w:noVBand="1" w:val="04A0"/>
      </w:tblPr>
      <w:tblGrid>
        <w:gridCol w:w="2880"/>
        <w:gridCol w:w="2880"/>
        <w:gridCol w:w="2880"/>
      </w:tblGrid>
      <w:tr>
        <w:tc>
          <w:tcPr>
            <w:tcW w:type="dxa" w:w="2880"/>
          </w:tcPr>
          <w:p>
            <w:r>
              <w:t>Particulars</w:t>
            </w:r>
          </w:p>
        </w:tc>
        <w:tc>
          <w:tcPr>
            <w:tcW w:type="dxa" w:w="2880"/>
          </w:tcPr>
          <w:p>
            <w:r>
              <w:t>As at 31st March 26</w:t>
            </w:r>
          </w:p>
        </w:tc>
        <w:tc>
          <w:tcPr>
            <w:tcW w:type="dxa" w:w="2880"/>
          </w:tcPr>
          <w:p>
            <w:r>
              <w:t>As at 31st March 25</w:t>
            </w:r>
          </w:p>
        </w:tc>
      </w:tr>
      <w:tr>
        <w:tc>
          <w:tcPr>
            <w:tcW w:type="dxa" w:w="2880"/>
          </w:tcPr>
          <w:p>
            <w:r>
              <w:t>HDFC Bank Current Account</w:t>
            </w:r>
          </w:p>
        </w:tc>
        <w:tc>
          <w:tcPr>
            <w:tcW w:type="dxa" w:w="2880"/>
          </w:tcPr>
          <w:p>
            <w:r>
              <w:t>2,976,000.00</w:t>
            </w:r>
          </w:p>
        </w:tc>
        <w:tc>
          <w:tcPr>
            <w:tcW w:type="dxa" w:w="2880"/>
          </w:tcPr>
          <w:p>
            <w:r>
              <w:t>0.00</w:t>
            </w:r>
          </w:p>
        </w:tc>
      </w:tr>
      <w:tr>
        <w:tc>
          <w:tcPr>
            <w:tcW w:type="dxa" w:w="2880"/>
          </w:tcPr>
          <w:p>
            <w:r>
              <w:t>TOTAL</w:t>
            </w:r>
          </w:p>
        </w:tc>
        <w:tc>
          <w:tcPr>
            <w:tcW w:type="dxa" w:w="2880"/>
          </w:tcPr>
          <w:p>
            <w:r>
              <w:t>2,976,000.00</w:t>
            </w:r>
          </w:p>
        </w:tc>
        <w:tc>
          <w:tcPr>
            <w:tcW w:type="dxa" w:w="2880"/>
          </w:tcPr>
          <w:p>
            <w:r>
              <w:t>0.00</w:t>
            </w:r>
          </w:p>
        </w:tc>
      </w:tr>
    </w:tbl>
    <w:p>
      <w:pPr>
        <w:pStyle w:val="Heading2"/>
      </w:pPr>
      <w:r>
        <w:t>Note 20: Short-Term Loans and Advances</w:t>
      </w:r>
    </w:p>
    <w:p>
      <w:pPr>
        <w:pStyle w:val="Heading3"/>
      </w:pPr>
      <w:r>
        <w:t>(Unsecured, Considered Good unless otherwise stated)</w:t>
      </w:r>
    </w:p>
    <w:tbl>
      <w:tblPr>
        <w:tblW w:type="auto" w:w="0"/>
        <w:jc w:val="center"/>
        <w:tblLook w:firstColumn="1" w:firstRow="1" w:lastColumn="0" w:lastRow="0" w:noHBand="0" w:noVBand="1" w:val="04A0"/>
      </w:tblPr>
      <w:tblGrid>
        <w:gridCol w:w="2880"/>
        <w:gridCol w:w="2880"/>
        <w:gridCol w:w="2880"/>
      </w:tblGrid>
      <w:tr>
        <w:tc>
          <w:tcPr>
            <w:tcW w:type="dxa" w:w="2880"/>
          </w:tcPr>
          <w:p>
            <w:r>
              <w:t>Particulars</w:t>
            </w:r>
          </w:p>
        </w:tc>
        <w:tc>
          <w:tcPr>
            <w:tcW w:type="dxa" w:w="2880"/>
          </w:tcPr>
          <w:p>
            <w:r>
              <w:t>As at 31st March 26</w:t>
            </w:r>
          </w:p>
        </w:tc>
        <w:tc>
          <w:tcPr>
            <w:tcW w:type="dxa" w:w="2880"/>
          </w:tcPr>
          <w:p>
            <w:r>
              <w:t>As at 31st March 25</w:t>
            </w:r>
          </w:p>
        </w:tc>
      </w:tr>
      <w:tr>
        <w:tc>
          <w:tcPr>
            <w:tcW w:type="dxa" w:w="2880"/>
          </w:tcPr>
          <w:p>
            <w:r>
              <w:t>TOTAL</w:t>
            </w:r>
          </w:p>
        </w:tc>
        <w:tc>
          <w:tcPr>
            <w:tcW w:type="dxa" w:w="2880"/>
          </w:tcPr>
          <w:p>
            <w:r>
              <w:t>0.00</w:t>
            </w:r>
          </w:p>
        </w:tc>
        <w:tc>
          <w:tcPr>
            <w:tcW w:type="dxa" w:w="2880"/>
          </w:tcPr>
          <w:p>
            <w:r>
              <w:t>0.00</w:t>
            </w:r>
          </w:p>
        </w:tc>
      </w:tr>
    </w:tbl>
    <w:p>
      <w:pPr>
        <w:pStyle w:val="Heading2"/>
      </w:pPr>
      <w:r>
        <w:t>Note 21: Other Current Assets</w:t>
      </w:r>
    </w:p>
    <w:tbl>
      <w:tblPr>
        <w:tblW w:type="auto" w:w="0"/>
        <w:jc w:val="center"/>
        <w:tblLook w:firstColumn="1" w:firstRow="1" w:lastColumn="0" w:lastRow="0" w:noHBand="0" w:noVBand="1" w:val="04A0"/>
      </w:tblPr>
      <w:tblGrid>
        <w:gridCol w:w="2880"/>
        <w:gridCol w:w="2880"/>
        <w:gridCol w:w="2880"/>
      </w:tblGrid>
      <w:tr>
        <w:tc>
          <w:tcPr>
            <w:tcW w:type="dxa" w:w="2880"/>
          </w:tcPr>
          <w:p>
            <w:r>
              <w:t>Particulars</w:t>
            </w:r>
          </w:p>
        </w:tc>
        <w:tc>
          <w:tcPr>
            <w:tcW w:type="dxa" w:w="2880"/>
          </w:tcPr>
          <w:p>
            <w:r>
              <w:t>As at 31st March 26</w:t>
            </w:r>
          </w:p>
        </w:tc>
        <w:tc>
          <w:tcPr>
            <w:tcW w:type="dxa" w:w="2880"/>
          </w:tcPr>
          <w:p>
            <w:r>
              <w:t>As at 31st March 25</w:t>
            </w:r>
          </w:p>
        </w:tc>
      </w:tr>
      <w:tr>
        <w:tc>
          <w:tcPr>
            <w:tcW w:type="dxa" w:w="2880"/>
          </w:tcPr>
          <w:p>
            <w:r>
              <w:t>Security Deposit Rent</w:t>
            </w:r>
          </w:p>
        </w:tc>
        <w:tc>
          <w:tcPr>
            <w:tcW w:type="dxa" w:w="2880"/>
          </w:tcPr>
          <w:p>
            <w:r>
              <w:t>150,000.00</w:t>
            </w:r>
          </w:p>
        </w:tc>
        <w:tc>
          <w:tcPr>
            <w:tcW w:type="dxa" w:w="2880"/>
          </w:tcPr>
          <w:p>
            <w:r>
              <w:t>0.00</w:t>
            </w:r>
          </w:p>
        </w:tc>
      </w:tr>
      <w:tr>
        <w:tc>
          <w:tcPr>
            <w:tcW w:type="dxa" w:w="2880"/>
          </w:tcPr>
          <w:p>
            <w:r>
              <w:t>TOTAL</w:t>
            </w:r>
          </w:p>
        </w:tc>
        <w:tc>
          <w:tcPr>
            <w:tcW w:type="dxa" w:w="2880"/>
          </w:tcPr>
          <w:p>
            <w:r>
              <w:t>150,000.00</w:t>
            </w:r>
          </w:p>
        </w:tc>
        <w:tc>
          <w:tcPr>
            <w:tcW w:type="dxa" w:w="2880"/>
          </w:tcPr>
          <w:p>
            <w:r>
              <w:t>0.00</w:t>
            </w:r>
          </w:p>
        </w:tc>
      </w:tr>
    </w:tbl>
    <w:p>
      <w:pPr>
        <w:pStyle w:val="Heading2"/>
      </w:pPr>
      <w:r>
        <w:t>Note 22: Revenue from Operations</w:t>
      </w:r>
    </w:p>
    <w:tbl>
      <w:tblPr>
        <w:tblW w:type="auto" w:w="0"/>
        <w:jc w:val="center"/>
        <w:tblLook w:firstColumn="1" w:firstRow="1" w:lastColumn="0" w:lastRow="0" w:noHBand="0" w:noVBand="1" w:val="04A0"/>
      </w:tblPr>
      <w:tblGrid>
        <w:gridCol w:w="2880"/>
        <w:gridCol w:w="2880"/>
        <w:gridCol w:w="2880"/>
      </w:tblGrid>
      <w:tr>
        <w:tc>
          <w:tcPr>
            <w:tcW w:type="dxa" w:w="2880"/>
          </w:tcPr>
          <w:p>
            <w:r>
              <w:t>Particulars</w:t>
            </w:r>
          </w:p>
        </w:tc>
        <w:tc>
          <w:tcPr>
            <w:tcW w:type="dxa" w:w="2880"/>
          </w:tcPr>
          <w:p>
            <w:r>
              <w:t>Year ended 31st March 26</w:t>
            </w:r>
          </w:p>
        </w:tc>
        <w:tc>
          <w:tcPr>
            <w:tcW w:type="dxa" w:w="2880"/>
          </w:tcPr>
          <w:p>
            <w:r>
              <w:t>Year ended 31st March 25</w:t>
            </w:r>
          </w:p>
        </w:tc>
      </w:tr>
      <w:tr>
        <w:tc>
          <w:tcPr>
            <w:tcW w:type="dxa" w:w="2880"/>
          </w:tcPr>
          <w:p>
            <w:r>
              <w:t>Sale of Products</w:t>
            </w:r>
          </w:p>
        </w:tc>
        <w:tc>
          <w:tcPr>
            <w:tcW w:type="dxa" w:w="2880"/>
          </w:tcPr>
          <w:p>
            <w:r>
              <w:t>3,588,000.00</w:t>
            </w:r>
          </w:p>
        </w:tc>
        <w:tc>
          <w:tcPr>
            <w:tcW w:type="dxa" w:w="2880"/>
          </w:tcPr>
          <w:p>
            <w:r>
              <w:t>0.00</w:t>
            </w:r>
          </w:p>
        </w:tc>
      </w:tr>
      <w:tr>
        <w:tc>
          <w:tcPr>
            <w:tcW w:type="dxa" w:w="2880"/>
          </w:tcPr>
          <w:p>
            <w:r>
              <w:t>Sale of Services</w:t>
            </w:r>
          </w:p>
        </w:tc>
        <w:tc>
          <w:tcPr>
            <w:tcW w:type="dxa" w:w="2880"/>
          </w:tcPr>
          <w:p>
            <w:r>
              <w:t>1,984,000.00</w:t>
            </w:r>
          </w:p>
        </w:tc>
        <w:tc>
          <w:tcPr>
            <w:tcW w:type="dxa" w:w="2880"/>
          </w:tcPr>
          <w:p>
            <w:r>
              <w:t>0.00</w:t>
            </w:r>
          </w:p>
        </w:tc>
      </w:tr>
      <w:tr>
        <w:tc>
          <w:tcPr>
            <w:tcW w:type="dxa" w:w="2880"/>
          </w:tcPr>
          <w:p>
            <w:r>
              <w:t>TOTAL</w:t>
            </w:r>
          </w:p>
        </w:tc>
        <w:tc>
          <w:tcPr>
            <w:tcW w:type="dxa" w:w="2880"/>
          </w:tcPr>
          <w:p>
            <w:r>
              <w:t>5,572,000.00</w:t>
            </w:r>
          </w:p>
        </w:tc>
        <w:tc>
          <w:tcPr>
            <w:tcW w:type="dxa" w:w="2880"/>
          </w:tcPr>
          <w:p>
            <w:r>
              <w:t>0.00</w:t>
            </w:r>
          </w:p>
        </w:tc>
      </w:tr>
    </w:tbl>
    <w:p>
      <w:pPr>
        <w:pStyle w:val="Heading2"/>
      </w:pPr>
      <w:r>
        <w:t>Note 23: Other Income</w:t>
      </w:r>
    </w:p>
    <w:tbl>
      <w:tblPr>
        <w:tblW w:type="auto" w:w="0"/>
        <w:jc w:val="center"/>
        <w:tblLook w:firstColumn="1" w:firstRow="1" w:lastColumn="0" w:lastRow="0" w:noHBand="0" w:noVBand="1" w:val="04A0"/>
      </w:tblPr>
      <w:tblGrid>
        <w:gridCol w:w="2880"/>
        <w:gridCol w:w="2880"/>
        <w:gridCol w:w="2880"/>
      </w:tblGrid>
      <w:tr>
        <w:tc>
          <w:tcPr>
            <w:tcW w:type="dxa" w:w="2880"/>
          </w:tcPr>
          <w:p>
            <w:r>
              <w:t>Particulars</w:t>
            </w:r>
          </w:p>
        </w:tc>
        <w:tc>
          <w:tcPr>
            <w:tcW w:type="dxa" w:w="2880"/>
          </w:tcPr>
          <w:p>
            <w:r>
              <w:t>Year ended 31st March 26</w:t>
            </w:r>
          </w:p>
        </w:tc>
        <w:tc>
          <w:tcPr>
            <w:tcW w:type="dxa" w:w="2880"/>
          </w:tcPr>
          <w:p>
            <w:r>
              <w:t>Year ended 31st March 25</w:t>
            </w:r>
          </w:p>
        </w:tc>
      </w:tr>
      <w:tr>
        <w:tc>
          <w:tcPr>
            <w:tcW w:type="dxa" w:w="2880"/>
          </w:tcPr>
          <w:p>
            <w:r>
              <w:t>TOTAL</w:t>
            </w:r>
          </w:p>
        </w:tc>
        <w:tc>
          <w:tcPr>
            <w:tcW w:type="dxa" w:w="2880"/>
          </w:tcPr>
          <w:p>
            <w:r>
              <w:t>0.00</w:t>
            </w:r>
          </w:p>
        </w:tc>
        <w:tc>
          <w:tcPr>
            <w:tcW w:type="dxa" w:w="2880"/>
          </w:tcPr>
          <w:p>
            <w:r>
              <w:t>0.00</w:t>
            </w:r>
          </w:p>
        </w:tc>
      </w:tr>
    </w:tbl>
    <w:p>
      <w:pPr>
        <w:pStyle w:val="Heading2"/>
      </w:pPr>
      <w:r>
        <w:t>Note 24: Cost of Materials Consumed</w:t>
      </w:r>
    </w:p>
    <w:tbl>
      <w:tblPr>
        <w:tblW w:type="auto" w:w="0"/>
        <w:jc w:val="center"/>
        <w:tblLook w:firstColumn="1" w:firstRow="1" w:lastColumn="0" w:lastRow="0" w:noHBand="0" w:noVBand="1" w:val="04A0"/>
      </w:tblPr>
      <w:tblGrid>
        <w:gridCol w:w="2880"/>
        <w:gridCol w:w="2880"/>
        <w:gridCol w:w="2880"/>
      </w:tblGrid>
      <w:tr>
        <w:tc>
          <w:tcPr>
            <w:tcW w:type="dxa" w:w="2880"/>
          </w:tcPr>
          <w:p>
            <w:r>
              <w:t>Particulars</w:t>
            </w:r>
          </w:p>
        </w:tc>
        <w:tc>
          <w:tcPr>
            <w:tcW w:type="dxa" w:w="2880"/>
          </w:tcPr>
          <w:p>
            <w:r>
              <w:t>Year ended 31st March 26</w:t>
            </w:r>
          </w:p>
        </w:tc>
        <w:tc>
          <w:tcPr>
            <w:tcW w:type="dxa" w:w="2880"/>
          </w:tcPr>
          <w:p>
            <w:r>
              <w:t>Year ended 31st March 25</w:t>
            </w:r>
          </w:p>
        </w:tc>
      </w:tr>
      <w:tr>
        <w:tc>
          <w:tcPr>
            <w:tcW w:type="dxa" w:w="2880"/>
          </w:tcPr>
          <w:p>
            <w:r>
              <w:t>Purchases of Raw Materials</w:t>
            </w:r>
          </w:p>
        </w:tc>
        <w:tc>
          <w:tcPr>
            <w:tcW w:type="dxa" w:w="2880"/>
          </w:tcPr>
          <w:p>
            <w:r>
              <w:t>4,121,000.00</w:t>
            </w:r>
          </w:p>
        </w:tc>
        <w:tc>
          <w:tcPr>
            <w:tcW w:type="dxa" w:w="2880"/>
          </w:tcPr>
          <w:p>
            <w:r>
              <w:t>0.00</w:t>
            </w:r>
          </w:p>
        </w:tc>
      </w:tr>
      <w:tr>
        <w:tc>
          <w:tcPr>
            <w:tcW w:type="dxa" w:w="2880"/>
          </w:tcPr>
          <w:p>
            <w:r>
              <w:t>TOTAL</w:t>
            </w:r>
          </w:p>
        </w:tc>
        <w:tc>
          <w:tcPr>
            <w:tcW w:type="dxa" w:w="2880"/>
          </w:tcPr>
          <w:p>
            <w:r>
              <w:t>4,121,000.00</w:t>
            </w:r>
          </w:p>
        </w:tc>
        <w:tc>
          <w:tcPr>
            <w:tcW w:type="dxa" w:w="2880"/>
          </w:tcPr>
          <w:p>
            <w:r>
              <w:t>0.00</w:t>
            </w:r>
          </w:p>
        </w:tc>
      </w:tr>
    </w:tbl>
    <w:p>
      <w:pPr>
        <w:pStyle w:val="Heading2"/>
      </w:pPr>
      <w:r>
        <w:t>Note 25: Purchases of Stock-in-Trade</w:t>
      </w:r>
    </w:p>
    <w:tbl>
      <w:tblPr>
        <w:tblW w:type="auto" w:w="0"/>
        <w:jc w:val="center"/>
        <w:tblLook w:firstColumn="1" w:firstRow="1" w:lastColumn="0" w:lastRow="0" w:noHBand="0" w:noVBand="1" w:val="04A0"/>
      </w:tblPr>
      <w:tblGrid>
        <w:gridCol w:w="2880"/>
        <w:gridCol w:w="2880"/>
        <w:gridCol w:w="2880"/>
      </w:tblGrid>
      <w:tr>
        <w:tc>
          <w:tcPr>
            <w:tcW w:type="dxa" w:w="2880"/>
          </w:tcPr>
          <w:p>
            <w:r>
              <w:t>Particulars</w:t>
            </w:r>
          </w:p>
        </w:tc>
        <w:tc>
          <w:tcPr>
            <w:tcW w:type="dxa" w:w="2880"/>
          </w:tcPr>
          <w:p>
            <w:r>
              <w:t>Year ended 31st March 26</w:t>
            </w:r>
          </w:p>
        </w:tc>
        <w:tc>
          <w:tcPr>
            <w:tcW w:type="dxa" w:w="2880"/>
          </w:tcPr>
          <w:p>
            <w:r>
              <w:t>Year ended 31st March 25</w:t>
            </w:r>
          </w:p>
        </w:tc>
      </w:tr>
      <w:tr>
        <w:tc>
          <w:tcPr>
            <w:tcW w:type="dxa" w:w="2880"/>
          </w:tcPr>
          <w:p>
            <w:r>
              <w:t>Purchase of Raw Materials</w:t>
            </w:r>
          </w:p>
        </w:tc>
        <w:tc>
          <w:tcPr>
            <w:tcW w:type="dxa" w:w="2880"/>
          </w:tcPr>
          <w:p>
            <w:r>
              <w:t>4,121,000.00</w:t>
            </w:r>
          </w:p>
        </w:tc>
        <w:tc>
          <w:tcPr>
            <w:tcW w:type="dxa" w:w="2880"/>
          </w:tcPr>
          <w:p>
            <w:r>
              <w:t>0.00</w:t>
            </w:r>
          </w:p>
        </w:tc>
      </w:tr>
      <w:tr>
        <w:tc>
          <w:tcPr>
            <w:tcW w:type="dxa" w:w="2880"/>
          </w:tcPr>
          <w:p>
            <w:r>
              <w:t>TOTAL</w:t>
            </w:r>
          </w:p>
        </w:tc>
        <w:tc>
          <w:tcPr>
            <w:tcW w:type="dxa" w:w="2880"/>
          </w:tcPr>
          <w:p>
            <w:r>
              <w:t>4,121,000.00</w:t>
            </w:r>
          </w:p>
        </w:tc>
        <w:tc>
          <w:tcPr>
            <w:tcW w:type="dxa" w:w="2880"/>
          </w:tcPr>
          <w:p>
            <w:r>
              <w:t>0.00</w:t>
            </w:r>
          </w:p>
        </w:tc>
      </w:tr>
    </w:tbl>
    <w:p>
      <w:pPr>
        <w:pStyle w:val="Heading2"/>
      </w:pPr>
      <w:r>
        <w:t>Note 26: Changes in Inventories of Finished Goods, Work-In-Progress and Stock-in-Trade</w:t>
      </w:r>
    </w:p>
    <w:tbl>
      <w:tblPr>
        <w:tblW w:type="auto" w:w="0"/>
        <w:jc w:val="center"/>
        <w:tblLook w:firstColumn="1" w:firstRow="1" w:lastColumn="0" w:lastRow="0" w:noHBand="0" w:noVBand="1" w:val="04A0"/>
      </w:tblPr>
      <w:tblGrid>
        <w:gridCol w:w="2880"/>
        <w:gridCol w:w="2880"/>
        <w:gridCol w:w="2880"/>
      </w:tblGrid>
      <w:tr>
        <w:tc>
          <w:tcPr>
            <w:tcW w:type="dxa" w:w="2880"/>
          </w:tcPr>
          <w:p>
            <w:r>
              <w:t>Particulars</w:t>
            </w:r>
          </w:p>
        </w:tc>
        <w:tc>
          <w:tcPr>
            <w:tcW w:type="dxa" w:w="2880"/>
          </w:tcPr>
          <w:p>
            <w:r>
              <w:t>Year ended 31st March 26</w:t>
            </w:r>
          </w:p>
        </w:tc>
        <w:tc>
          <w:tcPr>
            <w:tcW w:type="dxa" w:w="2880"/>
          </w:tcPr>
          <w:p>
            <w:r>
              <w:t>Year ended 31st March 25</w:t>
            </w:r>
          </w:p>
        </w:tc>
      </w:tr>
      <w:tr>
        <w:tc>
          <w:tcPr>
            <w:tcW w:type="dxa" w:w="2880"/>
          </w:tcPr>
          <w:p>
            <w:r>
              <w:t>Opening Stock – Finished Goods</w:t>
            </w:r>
          </w:p>
        </w:tc>
        <w:tc>
          <w:tcPr>
            <w:tcW w:type="dxa" w:w="2880"/>
          </w:tcPr>
          <w:p>
            <w:r>
              <w:t>0.00</w:t>
            </w:r>
          </w:p>
        </w:tc>
        <w:tc>
          <w:tcPr>
            <w:tcW w:type="dxa" w:w="2880"/>
          </w:tcPr>
          <w:p>
            <w:r>
              <w:t>—</w:t>
            </w:r>
          </w:p>
        </w:tc>
      </w:tr>
      <w:tr>
        <w:tc>
          <w:tcPr>
            <w:tcW w:type="dxa" w:w="2880"/>
          </w:tcPr>
          <w:p>
            <w:r>
              <w:t>Opening Stock – Work-in-Progress</w:t>
            </w:r>
          </w:p>
        </w:tc>
        <w:tc>
          <w:tcPr>
            <w:tcW w:type="dxa" w:w="2880"/>
          </w:tcPr>
          <w:p>
            <w:r>
              <w:t>—</w:t>
            </w:r>
          </w:p>
        </w:tc>
        <w:tc>
          <w:tcPr>
            <w:tcW w:type="dxa" w:w="2880"/>
          </w:tcPr>
          <w:p>
            <w:r>
              <w:t>—</w:t>
            </w:r>
          </w:p>
        </w:tc>
      </w:tr>
      <w:tr>
        <w:tc>
          <w:tcPr>
            <w:tcW w:type="dxa" w:w="2880"/>
          </w:tcPr>
          <w:p>
            <w:r>
              <w:t>Less: Closing Stock – Finished Goods</w:t>
            </w:r>
          </w:p>
        </w:tc>
        <w:tc>
          <w:tcPr>
            <w:tcW w:type="dxa" w:w="2880"/>
          </w:tcPr>
          <w:p>
            <w:r>
              <w:t>(0.00)</w:t>
            </w:r>
          </w:p>
        </w:tc>
        <w:tc>
          <w:tcPr>
            <w:tcW w:type="dxa" w:w="2880"/>
          </w:tcPr>
          <w:p>
            <w:r>
              <w:t>(0.00)</w:t>
            </w:r>
          </w:p>
        </w:tc>
      </w:tr>
      <w:tr>
        <w:tc>
          <w:tcPr>
            <w:tcW w:type="dxa" w:w="2880"/>
          </w:tcPr>
          <w:p>
            <w:r>
              <w:t>Less: Closing Stock – Work-in-Progress</w:t>
            </w:r>
          </w:p>
        </w:tc>
        <w:tc>
          <w:tcPr>
            <w:tcW w:type="dxa" w:w="2880"/>
          </w:tcPr>
          <w:p>
            <w:r>
              <w:t>—</w:t>
            </w:r>
          </w:p>
        </w:tc>
        <w:tc>
          <w:tcPr>
            <w:tcW w:type="dxa" w:w="2880"/>
          </w:tcPr>
          <w:p>
            <w:r>
              <w:t>—</w:t>
            </w:r>
          </w:p>
        </w:tc>
      </w:tr>
      <w:tr>
        <w:tc>
          <w:tcPr>
            <w:tcW w:type="dxa" w:w="2880"/>
          </w:tcPr>
          <w:p>
            <w:r>
              <w:t>TOTAL (Increase)/Decrease in Inventories</w:t>
            </w:r>
          </w:p>
        </w:tc>
        <w:tc>
          <w:tcPr>
            <w:tcW w:type="dxa" w:w="2880"/>
          </w:tcPr>
          <w:p>
            <w:r>
              <w:t>0.00</w:t>
            </w:r>
          </w:p>
        </w:tc>
        <w:tc>
          <w:tcPr>
            <w:tcW w:type="dxa" w:w="2880"/>
          </w:tcPr>
          <w:p>
            <w:r>
              <w:t>0.00</w:t>
            </w:r>
          </w:p>
        </w:tc>
      </w:tr>
    </w:tbl>
    <w:p>
      <w:pPr>
        <w:pStyle w:val="Heading2"/>
      </w:pPr>
      <w:r>
        <w:t>Note 27: Employee Benefits Expense</w:t>
      </w:r>
    </w:p>
    <w:tbl>
      <w:tblPr>
        <w:tblW w:type="auto" w:w="0"/>
        <w:jc w:val="center"/>
        <w:tblLook w:firstColumn="1" w:firstRow="1" w:lastColumn="0" w:lastRow="0" w:noHBand="0" w:noVBand="1" w:val="04A0"/>
      </w:tblPr>
      <w:tblGrid>
        <w:gridCol w:w="2880"/>
        <w:gridCol w:w="2880"/>
        <w:gridCol w:w="2880"/>
      </w:tblGrid>
      <w:tr>
        <w:tc>
          <w:tcPr>
            <w:tcW w:type="dxa" w:w="2880"/>
          </w:tcPr>
          <w:p>
            <w:r>
              <w:t>Particulars</w:t>
            </w:r>
          </w:p>
        </w:tc>
        <w:tc>
          <w:tcPr>
            <w:tcW w:type="dxa" w:w="2880"/>
          </w:tcPr>
          <w:p>
            <w:r>
              <w:t>Year ended 31st March 26</w:t>
            </w:r>
          </w:p>
        </w:tc>
        <w:tc>
          <w:tcPr>
            <w:tcW w:type="dxa" w:w="2880"/>
          </w:tcPr>
          <w:p>
            <w:r>
              <w:t>Year ended 31st March 25</w:t>
            </w:r>
          </w:p>
        </w:tc>
      </w:tr>
      <w:tr>
        <w:tc>
          <w:tcPr>
            <w:tcW w:type="dxa" w:w="2880"/>
          </w:tcPr>
          <w:p>
            <w:r>
              <w:t>Salaries and Wages</w:t>
            </w:r>
          </w:p>
        </w:tc>
        <w:tc>
          <w:tcPr>
            <w:tcW w:type="dxa" w:w="2880"/>
          </w:tcPr>
          <w:p>
            <w:r>
              <w:t>1,440,000.00</w:t>
            </w:r>
          </w:p>
        </w:tc>
        <w:tc>
          <w:tcPr>
            <w:tcW w:type="dxa" w:w="2880"/>
          </w:tcPr>
          <w:p>
            <w:r>
              <w:t>0.00</w:t>
            </w:r>
          </w:p>
        </w:tc>
      </w:tr>
      <w:tr>
        <w:tc>
          <w:tcPr>
            <w:tcW w:type="dxa" w:w="2880"/>
          </w:tcPr>
          <w:p>
            <w:r>
              <w:t>TOTAL</w:t>
            </w:r>
          </w:p>
        </w:tc>
        <w:tc>
          <w:tcPr>
            <w:tcW w:type="dxa" w:w="2880"/>
          </w:tcPr>
          <w:p>
            <w:r>
              <w:t>1,440,000.00</w:t>
            </w:r>
          </w:p>
        </w:tc>
        <w:tc>
          <w:tcPr>
            <w:tcW w:type="dxa" w:w="2880"/>
          </w:tcPr>
          <w:p>
            <w:r>
              <w:t>0.00</w:t>
            </w:r>
          </w:p>
        </w:tc>
      </w:tr>
    </w:tbl>
    <w:p>
      <w:pPr>
        <w:pStyle w:val="Heading2"/>
      </w:pPr>
      <w:r>
        <w:t>Note 28: Finance Costs</w:t>
      </w:r>
    </w:p>
    <w:tbl>
      <w:tblPr>
        <w:tblW w:type="auto" w:w="0"/>
        <w:jc w:val="center"/>
        <w:tblLook w:firstColumn="1" w:firstRow="1" w:lastColumn="0" w:lastRow="0" w:noHBand="0" w:noVBand="1" w:val="04A0"/>
      </w:tblPr>
      <w:tblGrid>
        <w:gridCol w:w="2880"/>
        <w:gridCol w:w="2880"/>
        <w:gridCol w:w="2880"/>
      </w:tblGrid>
      <w:tr>
        <w:tc>
          <w:tcPr>
            <w:tcW w:type="dxa" w:w="2880"/>
          </w:tcPr>
          <w:p>
            <w:r>
              <w:t>Particulars</w:t>
            </w:r>
          </w:p>
        </w:tc>
        <w:tc>
          <w:tcPr>
            <w:tcW w:type="dxa" w:w="2880"/>
          </w:tcPr>
          <w:p>
            <w:r>
              <w:t>Year ended 31st March 26</w:t>
            </w:r>
          </w:p>
        </w:tc>
        <w:tc>
          <w:tcPr>
            <w:tcW w:type="dxa" w:w="2880"/>
          </w:tcPr>
          <w:p>
            <w:r>
              <w:t>Year ended 31st March 25</w:t>
            </w:r>
          </w:p>
        </w:tc>
      </w:tr>
      <w:tr>
        <w:tc>
          <w:tcPr>
            <w:tcW w:type="dxa" w:w="2880"/>
          </w:tcPr>
          <w:p>
            <w:r>
              <w:t>Bank Charges</w:t>
            </w:r>
          </w:p>
        </w:tc>
        <w:tc>
          <w:tcPr>
            <w:tcW w:type="dxa" w:w="2880"/>
          </w:tcPr>
          <w:p>
            <w:r>
              <w:t>12,000.00</w:t>
            </w:r>
          </w:p>
        </w:tc>
        <w:tc>
          <w:tcPr>
            <w:tcW w:type="dxa" w:w="2880"/>
          </w:tcPr>
          <w:p>
            <w:r>
              <w:t>0.00</w:t>
            </w:r>
          </w:p>
        </w:tc>
      </w:tr>
      <w:tr>
        <w:tc>
          <w:tcPr>
            <w:tcW w:type="dxa" w:w="2880"/>
          </w:tcPr>
          <w:p>
            <w:r>
              <w:t>TOTAL</w:t>
            </w:r>
          </w:p>
        </w:tc>
        <w:tc>
          <w:tcPr>
            <w:tcW w:type="dxa" w:w="2880"/>
          </w:tcPr>
          <w:p>
            <w:r>
              <w:t>12,000.00</w:t>
            </w:r>
          </w:p>
        </w:tc>
        <w:tc>
          <w:tcPr>
            <w:tcW w:type="dxa" w:w="2880"/>
          </w:tcPr>
          <w:p>
            <w:r>
              <w:t>0.00</w:t>
            </w:r>
          </w:p>
        </w:tc>
      </w:tr>
    </w:tbl>
    <w:p>
      <w:pPr>
        <w:pStyle w:val="Heading2"/>
      </w:pPr>
      <w:r>
        <w:t>Note 29: Other Expenses</w:t>
      </w:r>
    </w:p>
    <w:tbl>
      <w:tblPr>
        <w:tblW w:type="auto" w:w="0"/>
        <w:jc w:val="center"/>
        <w:tblLook w:firstColumn="1" w:firstRow="1" w:lastColumn="0" w:lastRow="0" w:noHBand="0" w:noVBand="1" w:val="04A0"/>
      </w:tblPr>
      <w:tblGrid>
        <w:gridCol w:w="2880"/>
        <w:gridCol w:w="2880"/>
        <w:gridCol w:w="2880"/>
      </w:tblGrid>
      <w:tr>
        <w:tc>
          <w:tcPr>
            <w:tcW w:type="dxa" w:w="2880"/>
          </w:tcPr>
          <w:p>
            <w:r>
              <w:t>Particulars</w:t>
            </w:r>
          </w:p>
        </w:tc>
        <w:tc>
          <w:tcPr>
            <w:tcW w:type="dxa" w:w="2880"/>
          </w:tcPr>
          <w:p>
            <w:r>
              <w:t>Year ended 31st March 26</w:t>
            </w:r>
          </w:p>
        </w:tc>
        <w:tc>
          <w:tcPr>
            <w:tcW w:type="dxa" w:w="2880"/>
          </w:tcPr>
          <w:p>
            <w:r>
              <w:t>Year ended 31st March 25</w:t>
            </w:r>
          </w:p>
        </w:tc>
      </w:tr>
      <w:tr>
        <w:tc>
          <w:tcPr>
            <w:tcW w:type="dxa" w:w="2880"/>
          </w:tcPr>
          <w:p>
            <w:r>
              <w:t>Power and Utilities</w:t>
            </w:r>
          </w:p>
        </w:tc>
        <w:tc>
          <w:tcPr>
            <w:tcW w:type="dxa" w:w="2880"/>
          </w:tcPr>
          <w:p>
            <w:r>
              <w:t>180,000.00</w:t>
            </w:r>
          </w:p>
        </w:tc>
        <w:tc>
          <w:tcPr>
            <w:tcW w:type="dxa" w:w="2880"/>
          </w:tcPr>
          <w:p>
            <w:r>
              <w:t>0.00</w:t>
            </w:r>
          </w:p>
        </w:tc>
      </w:tr>
      <w:tr>
        <w:tc>
          <w:tcPr>
            <w:tcW w:type="dxa" w:w="2880"/>
          </w:tcPr>
          <w:p>
            <w:r>
              <w:t>Audit Fees</w:t>
            </w:r>
          </w:p>
        </w:tc>
        <w:tc>
          <w:tcPr>
            <w:tcW w:type="dxa" w:w="2880"/>
          </w:tcPr>
          <w:p>
            <w:r>
              <w:t>50,000.00</w:t>
            </w:r>
          </w:p>
        </w:tc>
        <w:tc>
          <w:tcPr>
            <w:tcW w:type="dxa" w:w="2880"/>
          </w:tcPr>
          <w:p>
            <w:r>
              <w:t>0.00</w:t>
            </w:r>
          </w:p>
        </w:tc>
      </w:tr>
      <w:tr>
        <w:tc>
          <w:tcPr>
            <w:tcW w:type="dxa" w:w="2880"/>
          </w:tcPr>
          <w:p>
            <w:r>
              <w:t>Rent Expenses</w:t>
            </w:r>
          </w:p>
        </w:tc>
        <w:tc>
          <w:tcPr>
            <w:tcW w:type="dxa" w:w="2880"/>
          </w:tcPr>
          <w:p>
            <w:r>
              <w:t>360,000.00</w:t>
            </w:r>
          </w:p>
        </w:tc>
        <w:tc>
          <w:tcPr>
            <w:tcW w:type="dxa" w:w="2880"/>
          </w:tcPr>
          <w:p>
            <w:r>
              <w:t>0.00</w:t>
            </w:r>
          </w:p>
        </w:tc>
      </w:tr>
      <w:tr>
        <w:tc>
          <w:tcPr>
            <w:tcW w:type="dxa" w:w="2880"/>
          </w:tcPr>
          <w:p>
            <w:r>
              <w:t>TOTAL</w:t>
            </w:r>
          </w:p>
        </w:tc>
        <w:tc>
          <w:tcPr>
            <w:tcW w:type="dxa" w:w="2880"/>
          </w:tcPr>
          <w:p>
            <w:r>
              <w:t>590,000.00</w:t>
            </w:r>
          </w:p>
        </w:tc>
        <w:tc>
          <w:tcPr>
            <w:tcW w:type="dxa" w:w="2880"/>
          </w:tcPr>
          <w:p>
            <w:r>
              <w:t>0.00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