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Meridian Components Private Limited</w:t>
      </w:r>
    </w:p>
    <w:p>
      <w:pPr>
        <w:jc w:val="center"/>
      </w:pPr>
      <w:r>
        <w:rPr>
          <w:rFonts w:ascii="Times New Roman" w:hAnsi="Times New Roman"/>
          <w:b/>
          <w:sz w:val="24"/>
        </w:rPr>
        <w:t>CIN: U29100MH2019PTC123456 | Balance Sheet as at 31/03/2026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Particulars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Note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As at 31/03/2026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As at 31/03/2025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EQUITY AND LIABILITIES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Shareholders' funds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(a) Share capital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10,00,000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10,00,000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(b) Reserves and surplus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(20,07,850)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Current liabilities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(a) Other current liabilities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28,24,250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18,16,400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10,00,000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ASSETS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(a) Trade receivables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(b) Cash and cash equivalents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13,74,100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(c) Short-term loans and advances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4,33,300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18,16,400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10,00,000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Statement of Profit and Loss for the year ended 31/03/2026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Particulars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Note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Year ended 31/03/2026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Year ended 31/03/2025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INCOME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Revenue from operations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12,00,000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EXPENSES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Employee benefit expense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17,93,250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Other expenses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14,14,600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Total expenses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32,07,850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Profit / (loss) for the year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(20,07,850)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Notes forming part of the financial statements</w:t>
      </w:r>
    </w:p>
    <w:p>
      <w:r>
        <w:rPr>
          <w:rFonts w:ascii="Times New Roman" w:hAnsi="Times New Roman"/>
          <w:b w:val="0"/>
          <w:sz w:val="22"/>
        </w:rPr>
        <w:t>Note 1: The authorised and paid-up share capital as at 31/03/2026 is Rs 10,00,000.</w:t>
      </w:r>
    </w:p>
    <w:p>
      <w:r>
        <w:rPr>
          <w:rFonts w:ascii="Times New Roman" w:hAnsi="Times New Roman"/>
          <w:b w:val="0"/>
          <w:sz w:val="22"/>
        </w:rPr>
        <w:t>Note 2: The deficit in the statement of profit and loss for the year ended 31/03/2026 is Rs (20,07,850).</w:t>
      </w:r>
    </w:p>
    <w:p>
      <w:r>
        <w:rPr>
          <w:rFonts w:ascii="Times New Roman" w:hAnsi="Times New Roman"/>
          <w:b w:val="0"/>
          <w:sz w:val="22"/>
        </w:rPr>
        <w:t>Note 3: Other current liabilities include unreconciled difference of Rs 1,000, suspense balances and statutory dues outstanding as at 31/03/2026.</w:t>
      </w:r>
    </w:p>
    <w:p>
      <w:r>
        <w:rPr>
          <w:rFonts w:ascii="Times New Roman" w:hAnsi="Times New Roman"/>
          <w:b w:val="0"/>
          <w:sz w:val="22"/>
        </w:rPr>
        <w:t>The financial statements were approved by the Board of Directors on 15/05/2026 and signed on 31/03/2026.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