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3B4D30"/>
          <w:sz w:val="44"/>
        </w:rPr>
        <w:t>INVESTIGACIÓN Y DESARROLLO TÉCNICO DEL PILOTO (FRUVER)</w:t>
      </w:r>
    </w:p>
    <w:p>
      <w:pPr>
        <w:spacing w:before="0" w:after="240"/>
      </w:pPr>
      <w:r>
        <w:rPr>
          <w:rFonts w:ascii="Arial" w:hAnsi="Arial"/>
          <w:i/>
          <w:color w:val="B87373"/>
          <w:sz w:val="24"/>
        </w:rPr>
        <w:t>Estandarización de Operaciones Rurales, Métricas de Sostenibilidad y Creación de Valor Compartido</w:t>
      </w:r>
    </w:p>
    <w:tbl>
      <w:tblPr>
        <w:tblW w:type="auto" w:w="0"/>
        <w:jc w:val="center"/>
        <w:tblLayout w:type="fixed"/>
        <w:tblLook w:firstColumn="1" w:firstRow="1" w:lastColumn="0" w:lastRow="0" w:noHBand="0" w:noVBand="1" w:val="04A0"/>
      </w:tblPr>
      <w:tblGrid>
        <w:gridCol w:w="9360"/>
      </w:tblGrid>
      <w:tr>
        <w:tc>
          <w:tcPr>
            <w:tcW w:type="dxa" w:w="9360"/>
            <w:shd w:fill="F4F6F2"/>
            <w:tcMar>
              <w:top w:w="140" w:type="dxa"/>
              <w:bottom w:w="140" w:type="dxa"/>
              <w:left w:w="180" w:type="dxa"/>
              <w:right w:w="180" w:type="dxa"/>
            </w:tcMar>
          </w:tcPr>
          <w:p>
            <w:pPr>
              <w:spacing w:before="0" w:after="0"/>
            </w:pPr>
            <w:r>
              <w:rPr>
                <w:rFonts w:ascii="Arial" w:hAnsi="Arial"/>
                <w:color w:val="2C3539"/>
                <w:sz w:val="19"/>
              </w:rPr>
              <w:t>ROL ASIGNADO: Ingeniería Industrial | PROYECTO: Academia de Proveedores Grupo Smile</w:t>
              <w:br/>
              <w:t>MARCO: Red Académica de Valor Compartido (RAVC) - Universidad Nacional de Colombia &amp; Cámara de Comercio de Bogotá</w:t>
              <w:br/>
              <w:t>FECHA DE ENTREGA: Septiembre 2026</w:t>
            </w:r>
          </w:p>
        </w:tc>
      </w:tr>
    </w:tbl>
    <w:p>
      <w:pPr>
        <w:spacing w:before="160" w:after="160"/>
      </w:pPr>
    </w:p>
    <w:p>
      <w:pPr>
        <w:keepNext/>
        <w:spacing w:before="320" w:after="120"/>
      </w:pPr>
      <w:r>
        <w:rPr>
          <w:rFonts w:ascii="Arial" w:hAnsi="Arial"/>
          <w:b/>
          <w:color w:val="3B4D30"/>
          <w:sz w:val="28"/>
        </w:rPr>
        <w:t>1. JUSTIFICACIÓN Y ALCANCE TÉCNICO EN LA CADENA FRUVER</w:t>
      </w:r>
    </w:p>
    <w:p>
      <w:pPr>
        <w:spacing w:before="0" w:after="120" w:line="276" w:lineRule="auto"/>
      </w:pPr>
      <w:r>
        <w:rPr>
          <w:rFonts w:ascii="Arial" w:hAnsi="Arial"/>
          <w:b/>
          <w:color w:val="2C3539"/>
          <w:sz w:val="20"/>
        </w:rPr>
        <w:t xml:space="preserve">Contexto de Abastecimiento: </w:t>
      </w:r>
      <w:r>
        <w:rPr>
          <w:rFonts w:ascii="Arial" w:hAnsi="Arial"/>
          <w:color w:val="2C3539"/>
          <w:sz w:val="20"/>
        </w:rPr>
        <w:t>El sector de frutas y verduras (Fruver) constituye el núcleo crítico de suministro para Grupo Smile, operando como base de su propuesta gastronómica basada en frescura, estética acogedora y sostenibilidad. No obstante, las cadenas de valor hortofrutícolas en Colombia presentan una alta vulnerabilidad operativa debida a la atomización de los pequeños productores, mermas postcosecha que históricamente oscilan entre el 18% y el 25%, asimetría técnica y exposición a pasivos normativos en materia ambiental y laboral.</w:t>
      </w:r>
    </w:p>
    <w:p>
      <w:pPr>
        <w:spacing w:before="0" w:after="120" w:line="276" w:lineRule="auto"/>
      </w:pPr>
      <w:r>
        <w:rPr>
          <w:rFonts w:ascii="Arial" w:hAnsi="Arial"/>
          <w:b/>
          <w:color w:val="2C3539"/>
          <w:sz w:val="20"/>
        </w:rPr>
        <w:t xml:space="preserve">Enfoque de Ingeniería Industrial: </w:t>
      </w:r>
      <w:r>
        <w:rPr>
          <w:rFonts w:ascii="Arial" w:hAnsi="Arial"/>
          <w:color w:val="2C3539"/>
          <w:sz w:val="20"/>
        </w:rPr>
        <w:t>Desde el enfoque de la Ingeniería Industrial, este proyecto no plantea meras recomendaciones teóricas, sino el diseño de Procedimientos Operativos Estandarizados (SOP), reglas de decisión cuantitativas y metodologías de bajo costo adaptadas al campo colombiano. Se delimita la categoría Fruver sobre la base de la Resolución ICA 30021 de 2017 (Buenas Prácticas Agrícolas), estructurando el contenido en torno a los cinco (5) ejes temáticos obligatorios fijados en los lineamientos del reto.</w:t>
      </w:r>
    </w:p>
    <w:p>
      <w:pPr>
        <w:keepNext/>
        <w:spacing w:before="320" w:after="120"/>
      </w:pPr>
      <w:r>
        <w:rPr>
          <w:rFonts w:ascii="Arial" w:hAnsi="Arial"/>
          <w:b/>
          <w:color w:val="3B4D30"/>
          <w:sz w:val="28"/>
        </w:rPr>
        <w:t>2. DESARROLLO MODULAR POR EJES TEMÁTICOS OBLIGATORIOS</w:t>
      </w:r>
    </w:p>
    <w:p>
      <w:pPr>
        <w:keepNext/>
        <w:spacing w:before="200" w:after="80"/>
      </w:pPr>
      <w:r>
        <w:rPr>
          <w:rFonts w:ascii="Arial" w:hAnsi="Arial"/>
          <w:b/>
          <w:color w:val="B87373"/>
          <w:sz w:val="23"/>
        </w:rPr>
        <w:t>EJE 1: Buenas Prácticas Agrícolas (BPA) e Inocuidad Fitosanitaria</w:t>
      </w:r>
    </w:p>
    <w:p>
      <w:pPr>
        <w:spacing w:before="0" w:after="120" w:line="276" w:lineRule="auto"/>
      </w:pPr>
      <w:r>
        <w:rPr>
          <w:rFonts w:ascii="Arial" w:hAnsi="Arial"/>
          <w:b/>
          <w:color w:val="2C3539"/>
          <w:sz w:val="20"/>
        </w:rPr>
        <w:t xml:space="preserve">Base Regulatoria y Propósito: </w:t>
      </w:r>
      <w:r>
        <w:rPr>
          <w:rFonts w:ascii="Arial" w:hAnsi="Arial"/>
          <w:color w:val="2C3539"/>
          <w:sz w:val="20"/>
        </w:rPr>
        <w:t>Marco Normativo: Resolución ICA 30021 de 2017 y estándares GlobalG.A.P. v6. Su propósito industrial es mitigar el rechazo de lotes en centros de acopio y asegurar la inocuidad para el comensal.</w:t>
      </w:r>
    </w:p>
    <w:p>
      <w:pPr>
        <w:pStyle w:val="ListBullet"/>
        <w:spacing w:before="0" w:after="60" w:line="276" w:lineRule="auto"/>
      </w:pPr>
      <w:r>
        <w:rPr>
          <w:rFonts w:ascii="Arial" w:hAnsi="Arial"/>
          <w:b/>
          <w:color w:val="2C3539"/>
          <w:sz w:val="20"/>
        </w:rPr>
        <w:t xml:space="preserve">Control de Períodos de Carencia (PC): </w:t>
      </w:r>
      <w:r>
        <w:rPr>
          <w:rFonts w:ascii="Arial" w:hAnsi="Arial"/>
          <w:color w:val="2C3539"/>
          <w:sz w:val="20"/>
        </w:rPr>
        <w:t>Días mínimos obligatorios entre la última aspersión y la cosecha. Se implanta una bitácora de registro (física/offline) que bloquea el despacho de lotes si la fecha actual es menor a Fecha_Aplicación + Período_Carencia. Esto erradica riesgos de trazas de plaguicidas en los platos servidos.</w:t>
      </w:r>
    </w:p>
    <w:p>
      <w:pPr>
        <w:pStyle w:val="ListBullet"/>
        <w:spacing w:before="0" w:after="60" w:line="276" w:lineRule="auto"/>
      </w:pPr>
      <w:r>
        <w:rPr>
          <w:rFonts w:ascii="Arial" w:hAnsi="Arial"/>
          <w:b/>
          <w:color w:val="2C3539"/>
          <w:sz w:val="20"/>
        </w:rPr>
        <w:t xml:space="preserve">Calibración Operativa de Equipos de Aspersión: </w:t>
      </w:r>
      <w:r>
        <w:rPr>
          <w:rFonts w:ascii="Arial" w:hAnsi="Arial"/>
          <w:color w:val="2C3539"/>
          <w:sz w:val="20"/>
        </w:rPr>
        <w:t>Procedimiento de aforo en probeta plástica midiendo el caudal por boquilla durante 60 segundos a presión de régimen. Variaciones superiores al 10% entre boquillas exigen reemplazo inmediato, reduciendo sobrecostos de agroquímicos en un 12% a 18%.</w:t>
      </w:r>
    </w:p>
    <w:p>
      <w:pPr>
        <w:pStyle w:val="ListBullet"/>
        <w:spacing w:before="0" w:after="60" w:line="276" w:lineRule="auto"/>
      </w:pPr>
      <w:r>
        <w:rPr>
          <w:rFonts w:ascii="Arial" w:hAnsi="Arial"/>
          <w:b/>
          <w:color w:val="2C3539"/>
          <w:sz w:val="20"/>
        </w:rPr>
        <w:t xml:space="preserve">Protección de Fuentes Hídricas: </w:t>
      </w:r>
      <w:r>
        <w:rPr>
          <w:rFonts w:ascii="Arial" w:hAnsi="Arial"/>
          <w:color w:val="2C3539"/>
          <w:sz w:val="20"/>
        </w:rPr>
        <w:t>Establecimiento de franjas de amortiguación vegetal protectora de mínimo 10 metros en linderos de cuerpos de agua y análisis microbiológico semestral enfocado en la ausencia de Escherichia coli.</w:t>
      </w:r>
    </w:p>
    <w:p>
      <w:pPr>
        <w:keepNext/>
        <w:spacing w:before="200" w:after="80"/>
      </w:pPr>
      <w:r>
        <w:rPr>
          <w:rFonts w:ascii="Arial" w:hAnsi="Arial"/>
          <w:b/>
          <w:color w:val="B87373"/>
          <w:sz w:val="23"/>
        </w:rPr>
        <w:t>EJE 2: Manejo Integral de Residuos (Valorización Orgánica y RESPEL)</w:t>
      </w:r>
    </w:p>
    <w:p>
      <w:pPr>
        <w:spacing w:before="0" w:after="120" w:line="276" w:lineRule="auto"/>
      </w:pPr>
      <w:r>
        <w:rPr>
          <w:rFonts w:ascii="Arial" w:hAnsi="Arial"/>
          <w:b/>
          <w:color w:val="2C3539"/>
          <w:sz w:val="20"/>
        </w:rPr>
        <w:t xml:space="preserve">Base Regulatoria y Propósito: </w:t>
      </w:r>
      <w:r>
        <w:rPr>
          <w:rFonts w:ascii="Arial" w:hAnsi="Arial"/>
          <w:color w:val="2C3539"/>
          <w:sz w:val="20"/>
        </w:rPr>
        <w:t>Marco Normativo: Decreto 1076 de 2015 y esquema posconsumo de la Corporación CampoLimpio. Busca cerrar ciclos biológicos en finca y mitigar pasivos tóxicos.</w:t>
      </w:r>
    </w:p>
    <w:p>
      <w:pPr>
        <w:pStyle w:val="ListBullet"/>
        <w:spacing w:before="0" w:after="60" w:line="276" w:lineRule="auto"/>
      </w:pPr>
      <w:r>
        <w:rPr>
          <w:rFonts w:ascii="Arial" w:hAnsi="Arial"/>
          <w:b/>
          <w:color w:val="2C3539"/>
          <w:sz w:val="20"/>
        </w:rPr>
        <w:t xml:space="preserve">Protocolo de Compostaje Termófilo: </w:t>
      </w:r>
      <w:r>
        <w:rPr>
          <w:rFonts w:ascii="Arial" w:hAnsi="Arial"/>
          <w:color w:val="2C3539"/>
          <w:sz w:val="20"/>
        </w:rPr>
        <w:t>Diseño de pila estándar de 1.5 m de ancho por 1.2 m de altura. Mezcla estandarizada en relación Carbono/Nitrógeno (~30:1), combinando 3 partes de rastrojo seco/aserrín con 1 parte de residuos verdes y estiércol maduro. Control de fase termófila a 55 °C - 65 °C durante 21 días para desinfección biológica y volteos semanales.</w:t>
      </w:r>
    </w:p>
    <w:p>
      <w:pPr>
        <w:pStyle w:val="ListBullet"/>
        <w:spacing w:before="0" w:after="60" w:line="276" w:lineRule="auto"/>
      </w:pPr>
      <w:r>
        <w:rPr>
          <w:rFonts w:ascii="Arial" w:hAnsi="Arial"/>
          <w:b/>
          <w:color w:val="2C3539"/>
          <w:sz w:val="20"/>
        </w:rPr>
        <w:t xml:space="preserve">Procedimiento de Triple Lavado (RESPEL): </w:t>
      </w:r>
      <w:r>
        <w:rPr>
          <w:rFonts w:ascii="Arial" w:hAnsi="Arial"/>
          <w:color w:val="2C3539"/>
          <w:sz w:val="20"/>
        </w:rPr>
        <w:t>Protocolo obligatorio de 4 etapas: (1) Escurrido de 30 segundos sobre tanque; (2) Enjuague con agua a 1/4 de volumen por 30 s; (3) Vaciado del enjuague en tanque de mezcla (repetir 3 veces); (4) Perforación en el fondo sin romper la etiqueta y acopio transitorio en saco cerrado para entrega a la ruta de recolección de CampoLimpio.</w:t>
      </w:r>
    </w:p>
    <w:p>
      <w:pPr>
        <w:keepNext/>
        <w:spacing w:before="200" w:after="80"/>
      </w:pPr>
      <w:r>
        <w:rPr>
          <w:rFonts w:ascii="Arial" w:hAnsi="Arial"/>
          <w:b/>
          <w:color w:val="B87373"/>
          <w:sz w:val="23"/>
        </w:rPr>
        <w:t>EJE 3: Medición y Mitigación de Huella de Carbono y Eficiencia Energética</w:t>
      </w:r>
    </w:p>
    <w:p>
      <w:pPr>
        <w:spacing w:before="0" w:after="120" w:line="276" w:lineRule="auto"/>
      </w:pPr>
      <w:r>
        <w:rPr>
          <w:rFonts w:ascii="Arial" w:hAnsi="Arial"/>
          <w:b/>
          <w:color w:val="2C3539"/>
          <w:sz w:val="20"/>
        </w:rPr>
        <w:t xml:space="preserve">Base Regulatoria y Propósito: </w:t>
      </w:r>
      <w:r>
        <w:rPr>
          <w:rFonts w:ascii="Arial" w:hAnsi="Arial"/>
          <w:color w:val="2C3539"/>
          <w:sz w:val="20"/>
        </w:rPr>
        <w:t>Marco Normativo: GHG Protocol (Alcances 1 y 2 en agricultura) e IPCC Nivel Tier 1. El objetivo radica en proporcionar al campesino una formulación matemática comprensible para reducir costos de energía y fertilizantes.</w:t>
      </w:r>
    </w:p>
    <w:p>
      <w:pPr>
        <w:spacing w:before="0" w:after="120" w:line="276" w:lineRule="auto"/>
      </w:pPr>
      <w:r>
        <w:rPr>
          <w:rFonts w:ascii="Arial" w:hAnsi="Arial"/>
          <w:b/>
          <w:color w:val="2C3539"/>
          <w:sz w:val="20"/>
        </w:rPr>
        <w:t xml:space="preserve">Modelo Matemático Simplificado en Finca: </w:t>
      </w:r>
      <w:r>
        <w:rPr>
          <w:rFonts w:ascii="Arial" w:hAnsi="Arial"/>
          <w:color w:val="2C3539"/>
          <w:sz w:val="20"/>
        </w:rPr>
        <w:t>La ecuación de balance de carbono directo en la unidad productiva se modela como:</w:t>
      </w:r>
    </w:p>
    <w:tbl>
      <w:tblPr>
        <w:tblW w:type="auto" w:w="0"/>
        <w:jc w:val="center"/>
        <w:tblLook w:firstColumn="1" w:firstRow="1" w:lastColumn="0" w:lastRow="0" w:noHBand="0" w:noVBand="1" w:val="04A0"/>
      </w:tblPr>
      <w:tblGrid>
        <w:gridCol w:w="9360"/>
      </w:tblGrid>
      <w:tr>
        <w:tc>
          <w:tcPr>
            <w:tcW w:type="dxa" w:w="9360"/>
            <w:shd w:fill="F4F6F2"/>
            <w:tcMar>
              <w:top w:w="100" w:type="dxa"/>
              <w:bottom w:w="100" w:type="dxa"/>
              <w:left w:w="150" w:type="dxa"/>
              <w:right w:w="150" w:type="dxa"/>
            </w:tcMar>
          </w:tcPr>
          <w:p>
            <w:pPr>
              <w:spacing w:before="0" w:after="0"/>
            </w:pPr>
            <w:r>
              <w:rPr>
                <w:rFonts w:ascii="Consolas" w:hAnsi="Consolas"/>
                <w:b/>
                <w:color w:val="3B4D30"/>
                <w:sz w:val="19"/>
              </w:rPr>
              <w:t>Emisiones Totales (kg CO2e) = [Gal_Diésel × 10.21] + [Gal_Gasolina × 8.89] + [kg_N_Sintético × 2.45] + [kWh_Red × 0.164]</w:t>
            </w:r>
          </w:p>
        </w:tc>
      </w:tr>
    </w:tbl>
    <w:p>
      <w:pPr>
        <w:spacing w:before="80" w:after="80"/>
      </w:pPr>
    </w:p>
    <w:p>
      <w:pPr>
        <w:pStyle w:val="ListBullet"/>
        <w:spacing w:before="0" w:after="60" w:line="276" w:lineRule="auto"/>
      </w:pPr>
      <w:r>
        <w:rPr>
          <w:rFonts w:ascii="Arial" w:hAnsi="Arial"/>
          <w:b/>
          <w:color w:val="2C3539"/>
          <w:sz w:val="20"/>
        </w:rPr>
        <w:t xml:space="preserve">Medidas de Eficiencia Inmediata: </w:t>
      </w:r>
      <w:r>
        <w:rPr>
          <w:rFonts w:ascii="Arial" w:hAnsi="Arial"/>
          <w:color w:val="2C3539"/>
          <w:sz w:val="20"/>
        </w:rPr>
        <w:t>Sustitución programada de hasta el 25% de fuentes de nitrógeno químico sintético por compost orgánico estabilizado en finca.</w:t>
      </w:r>
    </w:p>
    <w:p>
      <w:pPr>
        <w:pStyle w:val="ListBullet"/>
        <w:spacing w:before="0" w:after="60" w:line="276" w:lineRule="auto"/>
      </w:pPr>
      <w:r>
        <w:rPr>
          <w:rFonts w:ascii="Arial" w:hAnsi="Arial"/>
          <w:b/>
          <w:color w:val="2C3539"/>
          <w:sz w:val="20"/>
        </w:rPr>
        <w:t xml:space="preserve">Optimización de Bombeo y Transporte: </w:t>
      </w:r>
      <w:r>
        <w:rPr>
          <w:rFonts w:ascii="Arial" w:hAnsi="Arial"/>
          <w:color w:val="2C3539"/>
          <w:sz w:val="20"/>
        </w:rPr>
        <w:t>Mantenimiento preventivo mensual de bombas de riego (limpieza de toberas y carburación) para abatir un 12% en consumo de combustible fósil, sumado a la logística de flete consolidado entre predios colindantes.</w:t>
      </w:r>
    </w:p>
    <w:p>
      <w:pPr>
        <w:keepNext/>
        <w:spacing w:before="200" w:after="80"/>
      </w:pPr>
      <w:r>
        <w:rPr>
          <w:rFonts w:ascii="Arial" w:hAnsi="Arial"/>
          <w:b/>
          <w:color w:val="B87373"/>
          <w:sz w:val="23"/>
        </w:rPr>
        <w:t>EJE 4: Prevención y Erradicación del Trabajo Infantil</w:t>
      </w:r>
    </w:p>
    <w:p>
      <w:pPr>
        <w:spacing w:before="0" w:after="120" w:line="276" w:lineRule="auto"/>
      </w:pPr>
      <w:r>
        <w:rPr>
          <w:rFonts w:ascii="Arial" w:hAnsi="Arial"/>
          <w:b/>
          <w:color w:val="2C3539"/>
          <w:sz w:val="20"/>
        </w:rPr>
        <w:t xml:space="preserve">Base Regulatoria y Propósito: </w:t>
      </w:r>
      <w:r>
        <w:rPr>
          <w:rFonts w:ascii="Arial" w:hAnsi="Arial"/>
          <w:color w:val="2C3539"/>
          <w:sz w:val="20"/>
        </w:rPr>
        <w:t>Marco Normativo: Convenios 138 y 182 de la OIT, Ley 1098 de 2006 (Código de Infancia y Adolescencia de Colombia) y directrices del ICBF. Garantiza la debida diligencia de derechos humanos en la cadena de abastecimiento.</w:t>
      </w:r>
    </w:p>
    <w:p>
      <w:pPr>
        <w:pStyle w:val="ListBullet"/>
        <w:spacing w:before="0" w:after="60" w:line="276" w:lineRule="auto"/>
      </w:pPr>
      <w:r>
        <w:rPr>
          <w:rFonts w:ascii="Arial" w:hAnsi="Arial"/>
          <w:b/>
          <w:color w:val="2C3539"/>
          <w:sz w:val="20"/>
        </w:rPr>
        <w:t xml:space="preserve">Criterios Excluyentes de Contratación: </w:t>
      </w:r>
      <w:r>
        <w:rPr>
          <w:rFonts w:ascii="Arial" w:hAnsi="Arial"/>
          <w:color w:val="2C3539"/>
          <w:sz w:val="20"/>
        </w:rPr>
        <w:t>Prohibición categórica de trabajo a menores de 15 años. Para adolescentes entre 15 y 17 años, se requiere autorización explícita del Inspector del Trabajo y se establece la lista negativa absoluta: prohibido el contacto con plaguicidas, uso de herramientas cortopunzantes mecánicas, cargas &gt; 15 kg y jornadas nocturnas.</w:t>
      </w:r>
    </w:p>
    <w:p>
      <w:pPr>
        <w:pStyle w:val="ListBullet"/>
        <w:spacing w:before="0" w:after="60" w:line="276" w:lineRule="auto"/>
      </w:pPr>
      <w:r>
        <w:rPr>
          <w:rFonts w:ascii="Arial" w:hAnsi="Arial"/>
          <w:b/>
          <w:color w:val="2C3539"/>
          <w:sz w:val="20"/>
        </w:rPr>
        <w:t xml:space="preserve">Protocolo de Verificación Documental: </w:t>
      </w:r>
      <w:r>
        <w:rPr>
          <w:rFonts w:ascii="Arial" w:hAnsi="Arial"/>
          <w:color w:val="2C3539"/>
          <w:sz w:val="20"/>
        </w:rPr>
        <w:t>Custodia de copia de documento de identidad de todo jornalero y certificación obligatoria de matrícula escolar vigente de todos los menores dependientes del núcleo familiar campesino. Activación de ruta ICBF (Línea 141) ante alertas tempranas.</w:t>
      </w:r>
    </w:p>
    <w:p>
      <w:pPr>
        <w:keepNext/>
        <w:spacing w:before="200" w:after="80"/>
      </w:pPr>
      <w:r>
        <w:rPr>
          <w:rFonts w:ascii="Arial" w:hAnsi="Arial"/>
          <w:b/>
          <w:color w:val="B87373"/>
          <w:sz w:val="23"/>
        </w:rPr>
        <w:t>EJE 5: Protección de Derechos Humanos y Seguridad y Salud en el Trabajo (SST)</w:t>
      </w:r>
    </w:p>
    <w:p>
      <w:pPr>
        <w:spacing w:before="0" w:after="120" w:line="276" w:lineRule="auto"/>
      </w:pPr>
      <w:r>
        <w:rPr>
          <w:rFonts w:ascii="Arial" w:hAnsi="Arial"/>
          <w:b/>
          <w:color w:val="2C3539"/>
          <w:sz w:val="20"/>
        </w:rPr>
        <w:t xml:space="preserve">Base Regulatoria y Propósito: </w:t>
      </w:r>
      <w:r>
        <w:rPr>
          <w:rFonts w:ascii="Arial" w:hAnsi="Arial"/>
          <w:color w:val="2C3539"/>
          <w:sz w:val="20"/>
        </w:rPr>
        <w:t>Marco Normativo: Decreto 1072 de 2015 (SG-SST), GTC 45 y Principios Rectores sobre Empresas y DDHH de la ONU. Dignifica las condiciones de labor y erradica la accidentalidad en campo.</w:t>
      </w:r>
    </w:p>
    <w:p>
      <w:pPr>
        <w:pStyle w:val="ListBullet"/>
        <w:spacing w:before="0" w:after="60" w:line="276" w:lineRule="auto"/>
      </w:pPr>
      <w:r>
        <w:rPr>
          <w:rFonts w:ascii="Arial" w:hAnsi="Arial"/>
          <w:b/>
          <w:color w:val="2C3539"/>
          <w:sz w:val="20"/>
        </w:rPr>
        <w:t xml:space="preserve">Mitigación de Riesgos Físico-Químicos: </w:t>
      </w:r>
      <w:r>
        <w:rPr>
          <w:rFonts w:ascii="Arial" w:hAnsi="Arial"/>
          <w:color w:val="2C3539"/>
          <w:sz w:val="20"/>
        </w:rPr>
        <w:t>Dotación obligatoria de traje impermeable de 2 piezas, guantes de nitrilo, botas de suela antideslizante y protección respiratoria con cartuchos para vapores químicos. Garantía de puntos de hidratación limpia (mínimo 2 litros/jornada) y pausas de descanso bajo techo.</w:t>
      </w:r>
    </w:p>
    <w:p>
      <w:pPr>
        <w:pStyle w:val="ListBullet"/>
        <w:spacing w:before="0" w:after="60" w:line="276" w:lineRule="auto"/>
      </w:pPr>
      <w:r>
        <w:rPr>
          <w:rFonts w:ascii="Arial" w:hAnsi="Arial"/>
          <w:b/>
          <w:color w:val="2C3539"/>
          <w:sz w:val="20"/>
        </w:rPr>
        <w:t xml:space="preserve">Trabajo Decente y Equidad de Género: </w:t>
      </w:r>
      <w:r>
        <w:rPr>
          <w:rFonts w:ascii="Arial" w:hAnsi="Arial"/>
          <w:color w:val="2C3539"/>
          <w:sz w:val="20"/>
        </w:rPr>
        <w:t>Erradicación de cualquier retención de documentos o salarios, prohibición de jornadas extenuantes y garantía de remuneración idéntica por jornal entre hombres y mujeres para igualdad sustantiva.</w:t>
      </w:r>
    </w:p>
    <w:p>
      <w:pPr>
        <w:keepNext/>
        <w:spacing w:before="320" w:after="120"/>
      </w:pPr>
      <w:r>
        <w:rPr>
          <w:rFonts w:ascii="Arial" w:hAnsi="Arial"/>
          <w:b/>
          <w:color w:val="3B4D30"/>
          <w:sz w:val="28"/>
        </w:rPr>
        <w:t>3. FICHA RESUMEN DE MEJORA RURAL (FORMATO IMPRIMIBLE Y OFFLINE)</w:t>
      </w:r>
    </w:p>
    <w:p>
      <w:pPr>
        <w:spacing w:before="0" w:after="120" w:line="276" w:lineRule="auto"/>
      </w:pPr>
      <w:r>
        <w:rPr>
          <w:rFonts w:ascii="Arial" w:hAnsi="Arial"/>
          <w:b/>
          <w:color w:val="2C3539"/>
          <w:sz w:val="20"/>
        </w:rPr>
        <w:t xml:space="preserve">Especificación de Formato: </w:t>
      </w:r>
      <w:r>
        <w:rPr>
          <w:rFonts w:ascii="Arial" w:hAnsi="Arial"/>
          <w:color w:val="2C3539"/>
          <w:sz w:val="20"/>
        </w:rPr>
        <w:t>Cumpliendo con los requerimientos funcionales del reto, se ha estructurado una ficha técnica descargable en PDF interactivo y formato monocromático de alta legibilidad, diseñada para operar en campo sin necesidad de conectividad permanente a internet.</w:t>
      </w:r>
    </w:p>
    <w:tbl>
      <w:tblPr>
        <w:tblW w:type="auto" w:w="0"/>
        <w:jc w:val="center"/>
        <w:tblLayout w:type="fixed"/>
        <w:tblLook w:firstColumn="1" w:firstRow="1" w:lastColumn="0" w:lastRow="0" w:noHBand="0" w:noVBand="1" w:val="04A0"/>
      </w:tblPr>
      <w:tblGrid>
        <w:gridCol w:w="3120"/>
        <w:gridCol w:w="3120"/>
        <w:gridCol w:w="3120"/>
      </w:tblGrid>
      <w:tr>
        <w:tc>
          <w:tcPr>
            <w:tcW w:type="dxa" w:w="9360"/>
            <w:gridSpan w:val="3"/>
            <w:shd w:fill="3B4D30"/>
            <w:tcMar>
              <w:top w:w="120" w:type="dxa"/>
              <w:bottom w:w="120" w:type="dxa"/>
              <w:left w:w="150" w:type="dxa"/>
              <w:right w:w="150" w:type="dxa"/>
            </w:tcMar>
          </w:tcPr>
          <w:p>
            <w:pPr>
              <w:spacing w:before="0" w:after="0"/>
            </w:pPr>
            <w:r>
              <w:rPr>
                <w:rFonts w:ascii="Arial" w:hAnsi="Arial"/>
                <w:b/>
                <w:color w:val="FFFFFF"/>
                <w:sz w:val="21"/>
              </w:rPr>
              <w:t>ACADEMIA PROVEEDORES SMILE | HOJA DE RUTA RURAL (CATEGORÍA FRUVER)</w:t>
            </w:r>
          </w:p>
        </w:tc>
      </w:tr>
      <w:tr>
        <w:tc>
          <w:tcPr>
            <w:tcW w:type="dxa" w:w="2592"/>
            <w:shd w:fill="F4F6F2"/>
            <w:tcMar>
              <w:top w:w="80" w:type="dxa"/>
              <w:bottom w:w="80" w:type="dxa"/>
              <w:left w:w="100" w:type="dxa"/>
              <w:right w:w="100" w:type="dxa"/>
            </w:tcMar>
          </w:tcPr>
          <w:p>
            <w:pPr>
              <w:spacing w:before="0" w:after="0"/>
            </w:pPr>
            <w:r>
              <w:rPr>
                <w:rFonts w:ascii="Arial" w:hAnsi="Arial"/>
                <w:b/>
                <w:color w:val="3B4D30"/>
                <w:sz w:val="17"/>
              </w:rPr>
              <w:t>EJE ESTRATÉGICO</w:t>
            </w:r>
          </w:p>
        </w:tc>
        <w:tc>
          <w:tcPr>
            <w:tcW w:type="dxa" w:w="4608"/>
            <w:shd w:fill="F4F6F2"/>
            <w:tcMar>
              <w:top w:w="80" w:type="dxa"/>
              <w:bottom w:w="80" w:type="dxa"/>
              <w:left w:w="100" w:type="dxa"/>
              <w:right w:w="100" w:type="dxa"/>
            </w:tcMar>
          </w:tcPr>
          <w:p>
            <w:pPr>
              <w:spacing w:before="0" w:after="0"/>
            </w:pPr>
            <w:r>
              <w:rPr>
                <w:rFonts w:ascii="Arial" w:hAnsi="Arial"/>
                <w:b/>
                <w:color w:val="3B4D30"/>
                <w:sz w:val="17"/>
              </w:rPr>
              <w:t>ACCIÓN OPERATIVA PRIORITARIA EN CAMPO</w:t>
            </w:r>
          </w:p>
        </w:tc>
        <w:tc>
          <w:tcPr>
            <w:tcW w:type="dxa" w:w="2160"/>
            <w:shd w:fill="F4F6F2"/>
            <w:tcMar>
              <w:top w:w="80" w:type="dxa"/>
              <w:bottom w:w="80" w:type="dxa"/>
              <w:left w:w="100" w:type="dxa"/>
              <w:right w:w="100" w:type="dxa"/>
            </w:tcMar>
          </w:tcPr>
          <w:p>
            <w:pPr>
              <w:spacing w:before="0" w:after="0"/>
            </w:pPr>
            <w:r>
              <w:rPr>
                <w:rFonts w:ascii="Arial" w:hAnsi="Arial"/>
                <w:b/>
                <w:color w:val="3B4D30"/>
                <w:sz w:val="17"/>
              </w:rPr>
              <w:t>MÉTODO DE CONTROL</w:t>
            </w:r>
          </w:p>
        </w:tc>
      </w:tr>
      <w:tr>
        <w:tc>
          <w:tcPr>
            <w:tcW w:type="dxa" w:w="2592"/>
            <w:tcMar>
              <w:top w:w="70" w:type="dxa"/>
              <w:bottom w:w="70" w:type="dxa"/>
              <w:left w:w="100" w:type="dxa"/>
              <w:right w:w="100" w:type="dxa"/>
            </w:tcMar>
          </w:tcPr>
          <w:p>
            <w:pPr>
              <w:spacing w:before="0" w:after="0"/>
            </w:pPr>
            <w:r>
              <w:rPr>
                <w:rFonts w:ascii="Arial" w:hAnsi="Arial"/>
                <w:color w:val="2C3539"/>
                <w:sz w:val="17"/>
              </w:rPr>
              <w:t>1. Inocuidad y BPA</w:t>
            </w:r>
          </w:p>
        </w:tc>
        <w:tc>
          <w:tcPr>
            <w:tcW w:type="dxa" w:w="4608"/>
            <w:tcMar>
              <w:top w:w="70" w:type="dxa"/>
              <w:bottom w:w="70" w:type="dxa"/>
              <w:left w:w="100" w:type="dxa"/>
              <w:right w:w="100" w:type="dxa"/>
            </w:tcMar>
          </w:tcPr>
          <w:p>
            <w:pPr>
              <w:spacing w:before="0" w:after="0"/>
            </w:pPr>
            <w:r>
              <w:rPr>
                <w:rFonts w:ascii="Arial" w:hAnsi="Arial"/>
                <w:color w:val="2C3539"/>
                <w:sz w:val="17"/>
              </w:rPr>
              <w:t>Verificar y registrar fecha de aspersión; suspender corte según ficha técnica de carencia.</w:t>
            </w:r>
          </w:p>
        </w:tc>
        <w:tc>
          <w:tcPr>
            <w:tcW w:type="dxa" w:w="2160"/>
            <w:tcMar>
              <w:top w:w="70" w:type="dxa"/>
              <w:bottom w:w="70" w:type="dxa"/>
              <w:left w:w="100" w:type="dxa"/>
              <w:right w:w="100" w:type="dxa"/>
            </w:tcMar>
          </w:tcPr>
          <w:p>
            <w:pPr>
              <w:spacing w:before="0" w:after="0"/>
            </w:pPr>
            <w:r>
              <w:rPr>
                <w:rFonts w:ascii="Arial" w:hAnsi="Arial"/>
                <w:color w:val="2C3539"/>
                <w:sz w:val="17"/>
              </w:rPr>
              <w:t>Bitácora ICA física / PWA</w:t>
            </w:r>
          </w:p>
        </w:tc>
      </w:tr>
      <w:tr>
        <w:tc>
          <w:tcPr>
            <w:tcW w:type="dxa" w:w="2592"/>
            <w:tcMar>
              <w:top w:w="70" w:type="dxa"/>
              <w:bottom w:w="70" w:type="dxa"/>
              <w:left w:w="100" w:type="dxa"/>
              <w:right w:w="100" w:type="dxa"/>
            </w:tcMar>
          </w:tcPr>
          <w:p>
            <w:pPr>
              <w:spacing w:before="0" w:after="0"/>
            </w:pPr>
            <w:r>
              <w:rPr>
                <w:rFonts w:ascii="Arial" w:hAnsi="Arial"/>
                <w:color w:val="2C3539"/>
                <w:sz w:val="17"/>
              </w:rPr>
              <w:t>2. Gestión de Residuos</w:t>
            </w:r>
          </w:p>
        </w:tc>
        <w:tc>
          <w:tcPr>
            <w:tcW w:type="dxa" w:w="4608"/>
            <w:tcMar>
              <w:top w:w="70" w:type="dxa"/>
              <w:bottom w:w="70" w:type="dxa"/>
              <w:left w:w="100" w:type="dxa"/>
              <w:right w:w="100" w:type="dxa"/>
            </w:tcMar>
          </w:tcPr>
          <w:p>
            <w:pPr>
              <w:spacing w:before="0" w:after="0"/>
            </w:pPr>
            <w:r>
              <w:rPr>
                <w:rFonts w:ascii="Arial" w:hAnsi="Arial"/>
                <w:color w:val="2C3539"/>
                <w:sz w:val="17"/>
              </w:rPr>
              <w:t>Realizar Triple Lavado, perforar fondo y entregar envases a ruta veredal CampoLimpio.</w:t>
            </w:r>
          </w:p>
        </w:tc>
        <w:tc>
          <w:tcPr>
            <w:tcW w:type="dxa" w:w="2160"/>
            <w:tcMar>
              <w:top w:w="70" w:type="dxa"/>
              <w:bottom w:w="70" w:type="dxa"/>
              <w:left w:w="100" w:type="dxa"/>
              <w:right w:w="100" w:type="dxa"/>
            </w:tcMar>
          </w:tcPr>
          <w:p>
            <w:pPr>
              <w:spacing w:before="0" w:after="0"/>
            </w:pPr>
            <w:r>
              <w:rPr>
                <w:rFonts w:ascii="Arial" w:hAnsi="Arial"/>
                <w:color w:val="2C3539"/>
                <w:sz w:val="17"/>
              </w:rPr>
              <w:t>Certificado CampoLimpio</w:t>
            </w:r>
          </w:p>
        </w:tc>
      </w:tr>
      <w:tr>
        <w:tc>
          <w:tcPr>
            <w:tcW w:type="dxa" w:w="2592"/>
            <w:tcMar>
              <w:top w:w="70" w:type="dxa"/>
              <w:bottom w:w="70" w:type="dxa"/>
              <w:left w:w="100" w:type="dxa"/>
              <w:right w:w="100" w:type="dxa"/>
            </w:tcMar>
          </w:tcPr>
          <w:p>
            <w:pPr>
              <w:spacing w:before="0" w:after="0"/>
            </w:pPr>
            <w:r>
              <w:rPr>
                <w:rFonts w:ascii="Arial" w:hAnsi="Arial"/>
                <w:color w:val="2C3539"/>
                <w:sz w:val="17"/>
              </w:rPr>
              <w:t>3. Huella de Carbono</w:t>
            </w:r>
          </w:p>
        </w:tc>
        <w:tc>
          <w:tcPr>
            <w:tcW w:type="dxa" w:w="4608"/>
            <w:tcMar>
              <w:top w:w="70" w:type="dxa"/>
              <w:bottom w:w="70" w:type="dxa"/>
              <w:left w:w="100" w:type="dxa"/>
              <w:right w:w="100" w:type="dxa"/>
            </w:tcMar>
          </w:tcPr>
          <w:p>
            <w:pPr>
              <w:spacing w:before="0" w:after="0"/>
            </w:pPr>
            <w:r>
              <w:rPr>
                <w:rFonts w:ascii="Arial" w:hAnsi="Arial"/>
                <w:color w:val="2C3539"/>
                <w:sz w:val="17"/>
              </w:rPr>
              <w:t>Reemplazar 2 bultos de fertilizante químico por abono compostado; calibrar motobomba.</w:t>
            </w:r>
          </w:p>
        </w:tc>
        <w:tc>
          <w:tcPr>
            <w:tcW w:type="dxa" w:w="2160"/>
            <w:tcMar>
              <w:top w:w="70" w:type="dxa"/>
              <w:bottom w:w="70" w:type="dxa"/>
              <w:left w:w="100" w:type="dxa"/>
              <w:right w:w="100" w:type="dxa"/>
            </w:tcMar>
          </w:tcPr>
          <w:p>
            <w:pPr>
              <w:spacing w:before="0" w:after="0"/>
            </w:pPr>
            <w:r>
              <w:rPr>
                <w:rFonts w:ascii="Arial" w:hAnsi="Arial"/>
                <w:color w:val="2C3539"/>
                <w:sz w:val="17"/>
              </w:rPr>
              <w:t>Cálculo simplificado kg CO2e</w:t>
            </w:r>
          </w:p>
        </w:tc>
      </w:tr>
      <w:tr>
        <w:tc>
          <w:tcPr>
            <w:tcW w:type="dxa" w:w="2592"/>
            <w:tcMar>
              <w:top w:w="70" w:type="dxa"/>
              <w:bottom w:w="70" w:type="dxa"/>
              <w:left w:w="100" w:type="dxa"/>
              <w:right w:w="100" w:type="dxa"/>
            </w:tcMar>
          </w:tcPr>
          <w:p>
            <w:pPr>
              <w:spacing w:before="0" w:after="0"/>
            </w:pPr>
            <w:r>
              <w:rPr>
                <w:rFonts w:ascii="Arial" w:hAnsi="Arial"/>
                <w:color w:val="2C3539"/>
                <w:sz w:val="17"/>
              </w:rPr>
              <w:t>4. Trabajo Infantil</w:t>
            </w:r>
          </w:p>
        </w:tc>
        <w:tc>
          <w:tcPr>
            <w:tcW w:type="dxa" w:w="4608"/>
            <w:tcMar>
              <w:top w:w="70" w:type="dxa"/>
              <w:bottom w:w="70" w:type="dxa"/>
              <w:left w:w="100" w:type="dxa"/>
              <w:right w:w="100" w:type="dxa"/>
            </w:tcMar>
          </w:tcPr>
          <w:p>
            <w:pPr>
              <w:spacing w:before="0" w:after="0"/>
            </w:pPr>
            <w:r>
              <w:rPr>
                <w:rFonts w:ascii="Arial" w:hAnsi="Arial"/>
                <w:color w:val="2C3539"/>
                <w:sz w:val="17"/>
              </w:rPr>
              <w:t>Archivar copias de cédula del personal y certificados de matrícula escolar de los hijos.</w:t>
            </w:r>
          </w:p>
        </w:tc>
        <w:tc>
          <w:tcPr>
            <w:tcW w:type="dxa" w:w="2160"/>
            <w:tcMar>
              <w:top w:w="70" w:type="dxa"/>
              <w:bottom w:w="70" w:type="dxa"/>
              <w:left w:w="100" w:type="dxa"/>
              <w:right w:w="100" w:type="dxa"/>
            </w:tcMar>
          </w:tcPr>
          <w:p>
            <w:pPr>
              <w:spacing w:before="0" w:after="0"/>
            </w:pPr>
            <w:r>
              <w:rPr>
                <w:rFonts w:ascii="Arial" w:hAnsi="Arial"/>
                <w:color w:val="2C3539"/>
                <w:sz w:val="17"/>
              </w:rPr>
              <w:t>Archivo físico / digital</w:t>
            </w:r>
          </w:p>
        </w:tc>
      </w:tr>
      <w:tr>
        <w:tc>
          <w:tcPr>
            <w:tcW w:type="dxa" w:w="2592"/>
            <w:tcMar>
              <w:top w:w="70" w:type="dxa"/>
              <w:bottom w:w="70" w:type="dxa"/>
              <w:left w:w="100" w:type="dxa"/>
              <w:right w:w="100" w:type="dxa"/>
            </w:tcMar>
          </w:tcPr>
          <w:p>
            <w:pPr>
              <w:spacing w:before="0" w:after="0"/>
            </w:pPr>
            <w:r>
              <w:rPr>
                <w:rFonts w:ascii="Arial" w:hAnsi="Arial"/>
                <w:color w:val="2C3539"/>
                <w:sz w:val="17"/>
              </w:rPr>
              <w:t>5. Seguridad y Salud</w:t>
            </w:r>
          </w:p>
        </w:tc>
        <w:tc>
          <w:tcPr>
            <w:tcW w:type="dxa" w:w="4608"/>
            <w:tcMar>
              <w:top w:w="70" w:type="dxa"/>
              <w:bottom w:w="70" w:type="dxa"/>
              <w:left w:w="100" w:type="dxa"/>
              <w:right w:w="100" w:type="dxa"/>
            </w:tcMar>
          </w:tcPr>
          <w:p>
            <w:pPr>
              <w:spacing w:before="0" w:after="0"/>
            </w:pPr>
            <w:r>
              <w:rPr>
                <w:rFonts w:ascii="Arial" w:hAnsi="Arial"/>
                <w:color w:val="2C3539"/>
                <w:sz w:val="17"/>
              </w:rPr>
              <w:t>Uso estricto de EPP certificado en fumigación e hidratación permanente garantizada.</w:t>
            </w:r>
          </w:p>
        </w:tc>
        <w:tc>
          <w:tcPr>
            <w:tcW w:type="dxa" w:w="2160"/>
            <w:tcMar>
              <w:top w:w="70" w:type="dxa"/>
              <w:bottom w:w="70" w:type="dxa"/>
              <w:left w:w="100" w:type="dxa"/>
              <w:right w:w="100" w:type="dxa"/>
            </w:tcMar>
          </w:tcPr>
          <w:p>
            <w:pPr>
              <w:spacing w:before="0" w:after="0"/>
            </w:pPr>
            <w:r>
              <w:rPr>
                <w:rFonts w:ascii="Arial" w:hAnsi="Arial"/>
                <w:color w:val="2C3539"/>
                <w:sz w:val="17"/>
              </w:rPr>
              <w:t>Lista de chequeo visual</w:t>
            </w:r>
          </w:p>
        </w:tc>
      </w:tr>
    </w:tbl>
    <w:p>
      <w:pPr>
        <w:spacing w:before="120" w:after="240"/>
      </w:pPr>
      <w:r>
        <w:rPr>
          <w:rFonts w:ascii="Arial" w:hAnsi="Arial"/>
          <w:b/>
          <w:color w:val="B87373"/>
          <w:sz w:val="19"/>
        </w:rPr>
        <w:t xml:space="preserve">Incentivo Comercial Vinculante: </w:t>
      </w:r>
      <w:r>
        <w:rPr>
          <w:rFonts w:ascii="Arial" w:hAnsi="Arial"/>
          <w:color w:val="2C3539"/>
          <w:sz w:val="19"/>
        </w:rPr>
        <w:t>Los predios que completen la adopción de estas acciones obtendrán un incentivo del +4% sobre el precio de liquidación por kilo y prioridad en el cupo semanal de abastecimiento en la red gastronómica Grupo Smile.</w:t>
      </w:r>
    </w:p>
    <w:p>
      <w:pPr>
        <w:keepNext/>
        <w:spacing w:before="320" w:after="120"/>
      </w:pPr>
      <w:r>
        <w:rPr>
          <w:rFonts w:ascii="Arial" w:hAnsi="Arial"/>
          <w:b/>
          <w:color w:val="3B4D30"/>
          <w:sz w:val="28"/>
        </w:rPr>
        <w:t>4. MODELACIÓN DE VALOR COMPARTIDO Y TABLERO DE INDICADORES (KPIS)</w:t>
      </w:r>
    </w:p>
    <w:p>
      <w:pPr>
        <w:spacing w:before="0" w:after="120" w:line="276" w:lineRule="auto"/>
      </w:pPr>
      <w:r>
        <w:rPr>
          <w:rFonts w:ascii="Arial" w:hAnsi="Arial"/>
          <w:b/>
          <w:color w:val="2C3539"/>
          <w:sz w:val="20"/>
        </w:rPr>
        <w:t xml:space="preserve">Fundamento Estratégico: </w:t>
      </w:r>
      <w:r>
        <w:rPr>
          <w:rFonts w:ascii="Arial" w:hAnsi="Arial"/>
          <w:color w:val="2C3539"/>
          <w:sz w:val="20"/>
        </w:rPr>
        <w:t>Siguiendo la teoría de Porter &amp; Kramer, la propuesta articula simultáneamente la rentabilidad económica de Grupo Smile y la mejora socioeconómica y ambiental de las familias campesinas proveedoras.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3B4D30"/>
            <w:tcMar>
              <w:top w:w="80" w:type="dxa"/>
              <w:bottom w:w="80" w:type="dxa"/>
              <w:left w:w="90" w:type="dxa"/>
              <w:right w:w="90" w:type="dxa"/>
            </w:tcMar>
          </w:tcPr>
          <w:p>
            <w:pPr>
              <w:spacing w:before="0" w:after="0"/>
            </w:pPr>
            <w:r>
              <w:rPr>
                <w:rFonts w:ascii="Arial" w:hAnsi="Arial"/>
                <w:b/>
                <w:color w:val="FFFFFF"/>
                <w:sz w:val="17"/>
              </w:rPr>
              <w:t>DIMENSIÓN</w:t>
            </w:r>
          </w:p>
        </w:tc>
        <w:tc>
          <w:tcPr>
            <w:tcW w:type="dxa" w:w="2592"/>
            <w:shd w:fill="3B4D30"/>
            <w:tcMar>
              <w:top w:w="80" w:type="dxa"/>
              <w:bottom w:w="80" w:type="dxa"/>
              <w:left w:w="90" w:type="dxa"/>
              <w:right w:w="90" w:type="dxa"/>
            </w:tcMar>
          </w:tcPr>
          <w:p>
            <w:pPr>
              <w:spacing w:before="0" w:after="0"/>
            </w:pPr>
            <w:r>
              <w:rPr>
                <w:rFonts w:ascii="Arial" w:hAnsi="Arial"/>
                <w:b/>
                <w:color w:val="FFFFFF"/>
                <w:sz w:val="17"/>
              </w:rPr>
              <w:t>VALOR PARA GRUPO SMILE</w:t>
            </w:r>
          </w:p>
        </w:tc>
        <w:tc>
          <w:tcPr>
            <w:tcW w:type="dxa" w:w="2592"/>
            <w:shd w:fill="3B4D30"/>
            <w:tcMar>
              <w:top w:w="80" w:type="dxa"/>
              <w:bottom w:w="80" w:type="dxa"/>
              <w:left w:w="90" w:type="dxa"/>
              <w:right w:w="90" w:type="dxa"/>
            </w:tcMar>
          </w:tcPr>
          <w:p>
            <w:pPr>
              <w:spacing w:before="0" w:after="0"/>
            </w:pPr>
            <w:r>
              <w:rPr>
                <w:rFonts w:ascii="Arial" w:hAnsi="Arial"/>
                <w:b/>
                <w:color w:val="FFFFFF"/>
                <w:sz w:val="17"/>
              </w:rPr>
              <w:t>VALOR PARA EL PRODUCTOR</w:t>
            </w:r>
          </w:p>
        </w:tc>
        <w:tc>
          <w:tcPr>
            <w:tcW w:type="dxa" w:w="2448"/>
            <w:shd w:fill="3B4D30"/>
            <w:tcMar>
              <w:top w:w="80" w:type="dxa"/>
              <w:bottom w:w="80" w:type="dxa"/>
              <w:left w:w="90" w:type="dxa"/>
              <w:right w:w="90" w:type="dxa"/>
            </w:tcMar>
          </w:tcPr>
          <w:p>
            <w:pPr>
              <w:spacing w:before="0" w:after="0"/>
            </w:pPr>
            <w:r>
              <w:rPr>
                <w:rFonts w:ascii="Arial" w:hAnsi="Arial"/>
                <w:b/>
                <w:color w:val="FFFFFF"/>
                <w:sz w:val="17"/>
              </w:rPr>
              <w:t>KPI INDUSTRIAL</w:t>
            </w:r>
          </w:p>
        </w:tc>
      </w:tr>
      <w:tr>
        <w:tc>
          <w:tcPr>
            <w:tcW w:type="dxa" w:w="1728"/>
            <w:shd w:fill="F4F6F2"/>
            <w:tcMar>
              <w:top w:w="70" w:type="dxa"/>
              <w:bottom w:w="70" w:type="dxa"/>
              <w:left w:w="90" w:type="dxa"/>
              <w:right w:w="90" w:type="dxa"/>
            </w:tcMar>
          </w:tcPr>
          <w:p>
            <w:pPr>
              <w:spacing w:before="0" w:after="0"/>
            </w:pPr>
            <w:r>
              <w:rPr>
                <w:rFonts w:ascii="Arial" w:hAnsi="Arial"/>
                <w:color w:val="2C3539"/>
                <w:sz w:val="17"/>
              </w:rPr>
              <w:t>Operativa / Calidad</w:t>
            </w:r>
          </w:p>
        </w:tc>
        <w:tc>
          <w:tcPr>
            <w:tcW w:type="dxa" w:w="2592"/>
            <w:shd w:fill="F4F6F2"/>
            <w:tcMar>
              <w:top w:w="70" w:type="dxa"/>
              <w:bottom w:w="70" w:type="dxa"/>
              <w:left w:w="90" w:type="dxa"/>
              <w:right w:w="90" w:type="dxa"/>
            </w:tcMar>
          </w:tcPr>
          <w:p>
            <w:pPr>
              <w:spacing w:before="0" w:after="0"/>
            </w:pPr>
            <w:r>
              <w:rPr>
                <w:rFonts w:ascii="Arial" w:hAnsi="Arial"/>
                <w:color w:val="2C3539"/>
                <w:sz w:val="17"/>
              </w:rPr>
              <w:t>Reducción de merma postcosecha en recibo del 22% al 7%.</w:t>
            </w:r>
          </w:p>
        </w:tc>
        <w:tc>
          <w:tcPr>
            <w:tcW w:type="dxa" w:w="2592"/>
            <w:shd w:fill="F4F6F2"/>
            <w:tcMar>
              <w:top w:w="70" w:type="dxa"/>
              <w:bottom w:w="70" w:type="dxa"/>
              <w:left w:w="90" w:type="dxa"/>
              <w:right w:w="90" w:type="dxa"/>
            </w:tcMar>
          </w:tcPr>
          <w:p>
            <w:pPr>
              <w:spacing w:before="0" w:after="0"/>
            </w:pPr>
            <w:r>
              <w:rPr>
                <w:rFonts w:ascii="Arial" w:hAnsi="Arial"/>
                <w:color w:val="2C3539"/>
                <w:sz w:val="17"/>
              </w:rPr>
              <w:t>Mayor volumen comercializable por hectárea sembrada.</w:t>
            </w:r>
          </w:p>
        </w:tc>
        <w:tc>
          <w:tcPr>
            <w:tcW w:type="dxa" w:w="2448"/>
            <w:shd w:fill="F4F6F2"/>
            <w:tcMar>
              <w:top w:w="70" w:type="dxa"/>
              <w:bottom w:w="70" w:type="dxa"/>
              <w:left w:w="90" w:type="dxa"/>
              <w:right w:w="90" w:type="dxa"/>
            </w:tcMar>
          </w:tcPr>
          <w:p>
            <w:pPr>
              <w:spacing w:before="0" w:after="0"/>
            </w:pPr>
            <w:r>
              <w:rPr>
                <w:rFonts w:ascii="Arial" w:hAnsi="Arial"/>
                <w:color w:val="2C3539"/>
                <w:sz w:val="17"/>
              </w:rPr>
              <w:t>% Merma = (kg rechazados / kg recibidos) × 100 [Meta: &lt; 8%]</w:t>
            </w:r>
          </w:p>
        </w:tc>
      </w:tr>
      <w:tr>
        <w:tc>
          <w:tcPr>
            <w:tcW w:type="dxa" w:w="1728"/>
            <w:tcMar>
              <w:top w:w="70" w:type="dxa"/>
              <w:bottom w:w="70" w:type="dxa"/>
              <w:left w:w="90" w:type="dxa"/>
              <w:right w:w="90" w:type="dxa"/>
            </w:tcMar>
          </w:tcPr>
          <w:p>
            <w:pPr>
              <w:spacing w:before="0" w:after="0"/>
            </w:pPr>
            <w:r>
              <w:rPr>
                <w:rFonts w:ascii="Arial" w:hAnsi="Arial"/>
                <w:color w:val="2C3539"/>
                <w:sz w:val="17"/>
              </w:rPr>
              <w:t>Inocuidad / Marca</w:t>
            </w:r>
          </w:p>
        </w:tc>
        <w:tc>
          <w:tcPr>
            <w:tcW w:type="dxa" w:w="2592"/>
            <w:tcMar>
              <w:top w:w="70" w:type="dxa"/>
              <w:bottom w:w="70" w:type="dxa"/>
              <w:left w:w="90" w:type="dxa"/>
              <w:right w:w="90" w:type="dxa"/>
            </w:tcMar>
          </w:tcPr>
          <w:p>
            <w:pPr>
              <w:spacing w:before="0" w:after="0"/>
            </w:pPr>
            <w:r>
              <w:rPr>
                <w:rFonts w:ascii="Arial" w:hAnsi="Arial"/>
                <w:color w:val="2C3539"/>
                <w:sz w:val="17"/>
              </w:rPr>
              <w:t>Blindaje contra alertas sanitarias en comedores de la cadena.</w:t>
            </w:r>
          </w:p>
        </w:tc>
        <w:tc>
          <w:tcPr>
            <w:tcW w:type="dxa" w:w="2592"/>
            <w:tcMar>
              <w:top w:w="70" w:type="dxa"/>
              <w:bottom w:w="70" w:type="dxa"/>
              <w:left w:w="90" w:type="dxa"/>
              <w:right w:w="90" w:type="dxa"/>
            </w:tcMar>
          </w:tcPr>
          <w:p>
            <w:pPr>
              <w:spacing w:before="0" w:after="0"/>
            </w:pPr>
            <w:r>
              <w:rPr>
                <w:rFonts w:ascii="Arial" w:hAnsi="Arial"/>
                <w:color w:val="2C3539"/>
                <w:sz w:val="17"/>
              </w:rPr>
              <w:t>Cero incidentes de intoxicación ocupacional por químicos.</w:t>
            </w:r>
          </w:p>
        </w:tc>
        <w:tc>
          <w:tcPr>
            <w:tcW w:type="dxa" w:w="2448"/>
            <w:tcMar>
              <w:top w:w="70" w:type="dxa"/>
              <w:bottom w:w="70" w:type="dxa"/>
              <w:left w:w="90" w:type="dxa"/>
              <w:right w:w="90" w:type="dxa"/>
            </w:tcMar>
          </w:tcPr>
          <w:p>
            <w:pPr>
              <w:spacing w:before="0" w:after="0"/>
            </w:pPr>
            <w:r>
              <w:rPr>
                <w:rFonts w:ascii="Arial" w:hAnsi="Arial"/>
                <w:color w:val="2C3539"/>
                <w:sz w:val="17"/>
              </w:rPr>
              <w:t>% Lotes despachados con Carencia verificada [Meta: 100%]</w:t>
            </w:r>
          </w:p>
        </w:tc>
      </w:tr>
      <w:tr>
        <w:tc>
          <w:tcPr>
            <w:tcW w:type="dxa" w:w="1728"/>
            <w:shd w:fill="F4F6F2"/>
            <w:tcMar>
              <w:top w:w="70" w:type="dxa"/>
              <w:bottom w:w="70" w:type="dxa"/>
              <w:left w:w="90" w:type="dxa"/>
              <w:right w:w="90" w:type="dxa"/>
            </w:tcMar>
          </w:tcPr>
          <w:p>
            <w:pPr>
              <w:spacing w:before="0" w:after="0"/>
            </w:pPr>
            <w:r>
              <w:rPr>
                <w:rFonts w:ascii="Arial" w:hAnsi="Arial"/>
                <w:color w:val="2C3539"/>
                <w:sz w:val="17"/>
              </w:rPr>
              <w:t>Ambiental</w:t>
            </w:r>
          </w:p>
        </w:tc>
        <w:tc>
          <w:tcPr>
            <w:tcW w:type="dxa" w:w="2592"/>
            <w:shd w:fill="F4F6F2"/>
            <w:tcMar>
              <w:top w:w="70" w:type="dxa"/>
              <w:bottom w:w="70" w:type="dxa"/>
              <w:left w:w="90" w:type="dxa"/>
              <w:right w:w="90" w:type="dxa"/>
            </w:tcMar>
          </w:tcPr>
          <w:p>
            <w:pPr>
              <w:spacing w:before="0" w:after="0"/>
            </w:pPr>
            <w:r>
              <w:rPr>
                <w:rFonts w:ascii="Arial" w:hAnsi="Arial"/>
                <w:color w:val="2C3539"/>
                <w:sz w:val="17"/>
              </w:rPr>
              <w:t>Trazabilidad de huella de carbono para reportes de sostenibilidad ESG.</w:t>
            </w:r>
          </w:p>
        </w:tc>
        <w:tc>
          <w:tcPr>
            <w:tcW w:type="dxa" w:w="2592"/>
            <w:shd w:fill="F4F6F2"/>
            <w:tcMar>
              <w:top w:w="70" w:type="dxa"/>
              <w:bottom w:w="70" w:type="dxa"/>
              <w:left w:w="90" w:type="dxa"/>
              <w:right w:w="90" w:type="dxa"/>
            </w:tcMar>
          </w:tcPr>
          <w:p>
            <w:pPr>
              <w:spacing w:before="0" w:after="0"/>
            </w:pPr>
            <w:r>
              <w:rPr>
                <w:rFonts w:ascii="Arial" w:hAnsi="Arial"/>
                <w:color w:val="2C3539"/>
                <w:sz w:val="17"/>
              </w:rPr>
              <w:t>Ahorro del 15% al 20% en costos de fertilización sintética.</w:t>
            </w:r>
          </w:p>
        </w:tc>
        <w:tc>
          <w:tcPr>
            <w:tcW w:type="dxa" w:w="2448"/>
            <w:shd w:fill="F4F6F2"/>
            <w:tcMar>
              <w:top w:w="70" w:type="dxa"/>
              <w:bottom w:w="70" w:type="dxa"/>
              <w:left w:w="90" w:type="dxa"/>
              <w:right w:w="90" w:type="dxa"/>
            </w:tcMar>
          </w:tcPr>
          <w:p>
            <w:pPr>
              <w:spacing w:before="0" w:after="0"/>
            </w:pPr>
            <w:r>
              <w:rPr>
                <w:rFonts w:ascii="Arial" w:hAnsi="Arial"/>
                <w:color w:val="2C3539"/>
                <w:sz w:val="17"/>
              </w:rPr>
              <w:t>kg CO2e emitidos / Tonelada cosechada [Meta: -15% Año 1]</w:t>
            </w:r>
          </w:p>
        </w:tc>
      </w:tr>
      <w:tr>
        <w:tc>
          <w:tcPr>
            <w:tcW w:type="dxa" w:w="1728"/>
            <w:tcMar>
              <w:top w:w="70" w:type="dxa"/>
              <w:bottom w:w="70" w:type="dxa"/>
              <w:left w:w="90" w:type="dxa"/>
              <w:right w:w="90" w:type="dxa"/>
            </w:tcMar>
          </w:tcPr>
          <w:p>
            <w:pPr>
              <w:spacing w:before="0" w:after="0"/>
            </w:pPr>
            <w:r>
              <w:rPr>
                <w:rFonts w:ascii="Arial" w:hAnsi="Arial"/>
                <w:color w:val="2C3539"/>
                <w:sz w:val="17"/>
              </w:rPr>
              <w:t>Social / Ética</w:t>
            </w:r>
          </w:p>
        </w:tc>
        <w:tc>
          <w:tcPr>
            <w:tcW w:type="dxa" w:w="2592"/>
            <w:tcMar>
              <w:top w:w="70" w:type="dxa"/>
              <w:bottom w:w="70" w:type="dxa"/>
              <w:left w:w="90" w:type="dxa"/>
              <w:right w:w="90" w:type="dxa"/>
            </w:tcMar>
          </w:tcPr>
          <w:p>
            <w:pPr>
              <w:spacing w:before="0" w:after="0"/>
            </w:pPr>
            <w:r>
              <w:rPr>
                <w:rFonts w:ascii="Arial" w:hAnsi="Arial"/>
                <w:color w:val="2C3539"/>
                <w:sz w:val="17"/>
              </w:rPr>
              <w:t>Blindaje ético frente a riesgos de trabajo infantil en cadena.</w:t>
            </w:r>
          </w:p>
        </w:tc>
        <w:tc>
          <w:tcPr>
            <w:tcW w:type="dxa" w:w="2592"/>
            <w:tcMar>
              <w:top w:w="70" w:type="dxa"/>
              <w:bottom w:w="70" w:type="dxa"/>
              <w:left w:w="90" w:type="dxa"/>
              <w:right w:w="90" w:type="dxa"/>
            </w:tcMar>
          </w:tcPr>
          <w:p>
            <w:pPr>
              <w:spacing w:before="0" w:after="0"/>
            </w:pPr>
            <w:r>
              <w:rPr>
                <w:rFonts w:ascii="Arial" w:hAnsi="Arial"/>
                <w:color w:val="2C3539"/>
                <w:sz w:val="17"/>
              </w:rPr>
              <w:t>Formalización laboral progresiva y retención escolar.</w:t>
            </w:r>
          </w:p>
        </w:tc>
        <w:tc>
          <w:tcPr>
            <w:tcW w:type="dxa" w:w="2448"/>
            <w:tcMar>
              <w:top w:w="70" w:type="dxa"/>
              <w:bottom w:w="70" w:type="dxa"/>
              <w:left w:w="90" w:type="dxa"/>
              <w:right w:w="90" w:type="dxa"/>
            </w:tcMar>
          </w:tcPr>
          <w:p>
            <w:pPr>
              <w:spacing w:before="0" w:after="0"/>
            </w:pPr>
            <w:r>
              <w:rPr>
                <w:rFonts w:ascii="Arial" w:hAnsi="Arial"/>
                <w:color w:val="2C3539"/>
                <w:sz w:val="17"/>
              </w:rPr>
              <w:t>% Menores dependientes con matrícula escolar [Meta: 100%]</w:t>
            </w:r>
          </w:p>
        </w:tc>
      </w:tr>
    </w:tbl>
    <w:p>
      <w:pPr>
        <w:spacing w:before="120" w:after="120"/>
      </w:pPr>
    </w:p>
    <w:p>
      <w:pPr>
        <w:keepNext/>
        <w:spacing w:before="320" w:after="120"/>
      </w:pPr>
      <w:r>
        <w:rPr>
          <w:rFonts w:ascii="Arial" w:hAnsi="Arial"/>
          <w:b/>
          <w:color w:val="3B4D30"/>
          <w:sz w:val="28"/>
        </w:rPr>
        <w:t>5. ESTRATEGIA DE ALIANZAS MULTIACTOR Y SOSTENIBILIDAD OPERATIVA</w:t>
      </w:r>
    </w:p>
    <w:p>
      <w:pPr>
        <w:spacing w:before="0" w:after="120" w:line="276" w:lineRule="auto"/>
      </w:pPr>
      <w:r>
        <w:rPr>
          <w:rFonts w:ascii="Arial" w:hAnsi="Arial"/>
          <w:b/>
          <w:color w:val="2C3539"/>
          <w:sz w:val="20"/>
        </w:rPr>
        <w:t xml:space="preserve">Ecosistema Institucional: </w:t>
      </w:r>
      <w:r>
        <w:rPr>
          <w:rFonts w:ascii="Arial" w:hAnsi="Arial"/>
          <w:color w:val="2C3539"/>
          <w:sz w:val="20"/>
        </w:rPr>
        <w:t>Para garantizar la viabilidad a largo plazo y evitar que Grupo Smile asuma cargas financieras desproporcionadas en capacitación rural, se consolida una red de articulación institucional:</w:t>
      </w:r>
    </w:p>
    <w:p>
      <w:pPr>
        <w:pStyle w:val="ListBullet"/>
        <w:spacing w:before="0" w:after="60" w:line="276" w:lineRule="auto"/>
      </w:pPr>
      <w:r>
        <w:rPr>
          <w:rFonts w:ascii="Arial" w:hAnsi="Arial"/>
          <w:b/>
          <w:color w:val="2C3539"/>
          <w:sz w:val="20"/>
        </w:rPr>
        <w:t xml:space="preserve">SENA (Servicio Nacional de Aprendizaje): </w:t>
      </w:r>
      <w:r>
        <w:rPr>
          <w:rFonts w:ascii="Arial" w:hAnsi="Arial"/>
          <w:color w:val="2C3539"/>
          <w:sz w:val="20"/>
        </w:rPr>
        <w:t>Despliegue de instructores rurales en las veredas priorizadas mediante el programa SENA Emprende Rural (SER), capacitando en el curso complementario de 40 horas en Buenas Prácticas Agrícolas y Manejo Seguro de Plaguicidas, sin costo directo para la empresa.</w:t>
      </w:r>
    </w:p>
    <w:p>
      <w:pPr>
        <w:pStyle w:val="ListBullet"/>
        <w:spacing w:before="0" w:after="60" w:line="276" w:lineRule="auto"/>
      </w:pPr>
      <w:r>
        <w:rPr>
          <w:rFonts w:ascii="Arial" w:hAnsi="Arial"/>
          <w:b/>
          <w:color w:val="2C3539"/>
          <w:sz w:val="20"/>
        </w:rPr>
        <w:t xml:space="preserve">Asohofrucol: </w:t>
      </w:r>
      <w:r>
        <w:rPr>
          <w:rFonts w:ascii="Arial" w:hAnsi="Arial"/>
          <w:color w:val="2C3539"/>
          <w:sz w:val="20"/>
        </w:rPr>
        <w:t>Apalancamiento de recursos del Fondo Nacional de Fomento Hortifrutícola para brindar asistencia técnica agronómica directa y cofinanciar insumos biológicos para el compostaje.</w:t>
      </w:r>
    </w:p>
    <w:p>
      <w:pPr>
        <w:pStyle w:val="ListBullet"/>
        <w:spacing w:before="0" w:after="60" w:line="276" w:lineRule="auto"/>
      </w:pPr>
      <w:r>
        <w:rPr>
          <w:rFonts w:ascii="Arial" w:hAnsi="Arial"/>
          <w:b/>
          <w:color w:val="2C3539"/>
          <w:sz w:val="20"/>
        </w:rPr>
        <w:t xml:space="preserve">Corporación CampoLimpio: </w:t>
      </w:r>
      <w:r>
        <w:rPr>
          <w:rFonts w:ascii="Arial" w:hAnsi="Arial"/>
          <w:color w:val="2C3539"/>
          <w:sz w:val="20"/>
        </w:rPr>
        <w:t>Establecimiento de centros de acopio temporales y calendario periódico de recolección de envases con triple lavado en las zonas de suministro.</w:t>
      </w:r>
    </w:p>
    <w:p>
      <w:pPr>
        <w:pStyle w:val="ListBullet"/>
        <w:spacing w:before="0" w:after="60" w:line="276" w:lineRule="auto"/>
      </w:pPr>
      <w:r>
        <w:rPr>
          <w:rFonts w:ascii="Arial" w:hAnsi="Arial"/>
          <w:b/>
          <w:color w:val="2C3539"/>
          <w:sz w:val="20"/>
        </w:rPr>
        <w:t xml:space="preserve">Red Académica de Valor Compartido (RAVC) / Universidades: </w:t>
      </w:r>
      <w:r>
        <w:rPr>
          <w:rFonts w:ascii="Arial" w:hAnsi="Arial"/>
          <w:color w:val="2C3539"/>
          <w:sz w:val="20"/>
        </w:rPr>
        <w:t>Vinculación de estudiantes de últimos semestres en calidad de pasantes de extensión rural, encargados de la verificación en campo, calibración de la herramienta PWA offline y medición del avance de los indicadores.</w:t>
      </w:r>
    </w:p>
    <w:p>
      <w:pPr>
        <w:keepNext/>
        <w:spacing w:before="320" w:after="120"/>
      </w:pPr>
      <w:r>
        <w:rPr>
          <w:rFonts w:ascii="Arial" w:hAnsi="Arial"/>
          <w:b/>
          <w:color w:val="3B4D30"/>
          <w:sz w:val="28"/>
        </w:rPr>
        <w:t>6. HOJA DE RUTA DE DESPLIEGUE EN CAMPO (ROADMAP)</w:t>
      </w:r>
    </w:p>
    <w:p>
      <w:pPr>
        <w:pStyle w:val="ListBullet"/>
        <w:spacing w:before="0" w:after="60" w:line="276" w:lineRule="auto"/>
      </w:pPr>
      <w:r>
        <w:rPr>
          <w:rFonts w:ascii="Arial" w:hAnsi="Arial"/>
          <w:b/>
          <w:color w:val="2C3539"/>
          <w:sz w:val="20"/>
        </w:rPr>
        <w:t xml:space="preserve">Mes 1 - Sensibilización y Alianzas: </w:t>
      </w:r>
      <w:r>
        <w:rPr>
          <w:rFonts w:ascii="Arial" w:hAnsi="Arial"/>
          <w:color w:val="2C3539"/>
          <w:sz w:val="20"/>
        </w:rPr>
        <w:t>Socialización en asambleas veredales, presentación del esquema de incentivos comerciales de Grupo Smile y conformación del grupo de productores pioneros.</w:t>
      </w:r>
    </w:p>
    <w:p>
      <w:pPr>
        <w:pStyle w:val="ListBullet"/>
        <w:spacing w:before="0" w:after="60" w:line="276" w:lineRule="auto"/>
      </w:pPr>
      <w:r>
        <w:rPr>
          <w:rFonts w:ascii="Arial" w:hAnsi="Arial"/>
          <w:b/>
          <w:color w:val="2C3539"/>
          <w:sz w:val="20"/>
        </w:rPr>
        <w:t xml:space="preserve">Mes 2 - Diagnóstico de Línea Base: </w:t>
      </w:r>
      <w:r>
        <w:rPr>
          <w:rFonts w:ascii="Arial" w:hAnsi="Arial"/>
          <w:color w:val="2C3539"/>
          <w:sz w:val="20"/>
        </w:rPr>
        <w:t>Levantamiento de la autoevaluación diagnóstica inicial (asistida por pasantes RAVC y vía PWA offline) para clasificar a cada predio en su nivel de madurez.</w:t>
      </w:r>
    </w:p>
    <w:p>
      <w:pPr>
        <w:pStyle w:val="ListBullet"/>
        <w:spacing w:before="0" w:after="60" w:line="276" w:lineRule="auto"/>
      </w:pPr>
      <w:r>
        <w:rPr>
          <w:rFonts w:ascii="Arial" w:hAnsi="Arial"/>
          <w:b/>
          <w:color w:val="2C3539"/>
          <w:sz w:val="20"/>
        </w:rPr>
        <w:t xml:space="preserve">Meses 3 a 5 - Transferencia y Mejora: </w:t>
      </w:r>
      <w:r>
        <w:rPr>
          <w:rFonts w:ascii="Arial" w:hAnsi="Arial"/>
          <w:color w:val="2C3539"/>
          <w:sz w:val="20"/>
        </w:rPr>
        <w:t>Ejecución de los cursos formativos del SENA, entrega de las Fichas Resumen Monocromáticas y adopción de bitácoras de campo y composteras.</w:t>
      </w:r>
    </w:p>
    <w:p>
      <w:pPr>
        <w:pStyle w:val="ListBullet"/>
        <w:spacing w:before="0" w:after="60" w:line="276" w:lineRule="auto"/>
      </w:pPr>
      <w:r>
        <w:rPr>
          <w:rFonts w:ascii="Arial" w:hAnsi="Arial"/>
          <w:b/>
          <w:color w:val="2C3539"/>
          <w:sz w:val="20"/>
        </w:rPr>
        <w:t xml:space="preserve">Mes 6 - Cierre de Ciclo e Incentivos: </w:t>
      </w:r>
      <w:r>
        <w:rPr>
          <w:rFonts w:ascii="Arial" w:hAnsi="Arial"/>
          <w:color w:val="2C3539"/>
          <w:sz w:val="20"/>
        </w:rPr>
        <w:t>Auditoría de cumplimiento de las acciones prioritarias, reevaluación de madurez y activación de la bonificación de precio del +4% para compras de la cadena.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