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Consultancy + Forward Deployment Wrap-Up</w:t>
      </w:r>
    </w:p>
    <w:p>
      <w:pPr>
        <w:jc w:val="center"/>
      </w:pPr>
      <w:r>
        <w:rPr>
          <w:i/>
          <w:sz w:val="24"/>
        </w:rPr>
        <w:t>Full synthesis for the separate consultancy/product project</w:t>
      </w:r>
    </w:p>
    <w:p>
      <w:pPr>
        <w:jc w:val="center"/>
      </w:pPr>
      <w:r>
        <w:t>Date: 2026-03-10</w:t>
      </w:r>
    </w:p>
    <w:p/>
    <w:p>
      <w:pPr>
        <w:pStyle w:val="Heading1"/>
      </w:pPr>
      <w:r>
        <w:t>Executive summary</w:t>
      </w:r>
    </w:p>
    <w:p>
      <w:pPr>
        <w:spacing w:after="120"/>
      </w:pPr>
      <w:r>
        <w:t>The core finding is that the strongest path is not "consultancy or product" but consultancy feeding a forward-deployed product strategy.</w:t>
      </w:r>
    </w:p>
    <w:p>
      <w:pPr>
        <w:spacing w:after="120"/>
      </w:pPr>
      <w:r>
        <w:t>In practice, that means:</w:t>
      </w:r>
    </w:p>
    <w:p>
      <w:pPr>
        <w:pStyle w:val="ListBullet"/>
      </w:pPr>
      <w:r>
        <w:rPr>
          <w:sz w:val="22"/>
        </w:rPr>
        <w:t>start with high-trust, high-context services</w:t>
      </w:r>
    </w:p>
    <w:p>
      <w:pPr>
        <w:pStyle w:val="ListBullet"/>
      </w:pPr>
      <w:r>
        <w:rPr>
          <w:sz w:val="22"/>
        </w:rPr>
        <w:t>use those services to identify repeated workflows, memory structures, and approval patterns</w:t>
      </w:r>
    </w:p>
    <w:p>
      <w:pPr>
        <w:pStyle w:val="ListBullet"/>
      </w:pPr>
      <w:r>
        <w:rPr>
          <w:sz w:val="22"/>
        </w:rPr>
        <w:t>productize the repeated core into software or managed product surfaces</w:t>
      </w:r>
    </w:p>
    <w:p>
      <w:pPr>
        <w:pStyle w:val="ListBullet"/>
      </w:pPr>
      <w:r>
        <w:rPr>
          <w:sz w:val="22"/>
        </w:rPr>
        <w:t>keep forward deployment as the adoption mechanism for higher-value accounts</w:t>
      </w:r>
    </w:p>
    <w:p>
      <w:pPr>
        <w:spacing w:after="120"/>
      </w:pPr>
      <w:r>
        <w:t>The model works best when the company sells operational outcomes, not generic AI capability.</w:t>
      </w:r>
    </w:p>
    <w:p>
      <w:pPr>
        <w:spacing w:after="120"/>
      </w:pPr>
      <w:r>
        <w:t>The buyer should understand the wedge as:</w:t>
      </w:r>
    </w:p>
    <w:p>
      <w:pPr>
        <w:pStyle w:val="ListBullet"/>
      </w:pPr>
      <w:r>
        <w:rPr>
          <w:sz w:val="22"/>
        </w:rPr>
        <w:t>workflow reliability</w:t>
      </w:r>
    </w:p>
    <w:p>
      <w:pPr>
        <w:pStyle w:val="ListBullet"/>
      </w:pPr>
      <w:r>
        <w:rPr>
          <w:sz w:val="22"/>
        </w:rPr>
        <w:t>institutional memory</w:t>
      </w:r>
    </w:p>
    <w:p>
      <w:pPr>
        <w:pStyle w:val="ListBullet"/>
      </w:pPr>
      <w:r>
        <w:rPr>
          <w:sz w:val="22"/>
        </w:rPr>
        <w:t>long-horizon execution</w:t>
      </w:r>
    </w:p>
    <w:p>
      <w:pPr>
        <w:pStyle w:val="ListBullet"/>
      </w:pPr>
      <w:r>
        <w:rPr>
          <w:sz w:val="22"/>
        </w:rPr>
        <w:t>governed agent operations</w:t>
      </w:r>
    </w:p>
    <w:p>
      <w:pPr>
        <w:spacing w:after="120"/>
      </w:pPr>
      <w:r>
        <w:t>The strongest initial product sequence remains:</w:t>
      </w:r>
    </w:p>
    <w:p>
      <w:pPr>
        <w:pStyle w:val="ListNumber"/>
      </w:pPr>
      <w:r>
        <w:rPr>
          <w:sz w:val="22"/>
        </w:rPr>
        <w:t>Institutional Memory Engine</w:t>
      </w:r>
    </w:p>
    <w:p>
      <w:pPr>
        <w:pStyle w:val="ListNumber"/>
      </w:pPr>
      <w:r>
        <w:rPr>
          <w:sz w:val="22"/>
        </w:rPr>
        <w:t>Long-Horizon Workflow Agent</w:t>
      </w:r>
    </w:p>
    <w:p>
      <w:pPr>
        <w:pStyle w:val="ListNumber"/>
      </w:pPr>
      <w:r>
        <w:rPr>
          <w:sz w:val="22"/>
        </w:rPr>
        <w:t>Agent Runtime Control Plane</w:t>
      </w:r>
    </w:p>
    <w:p>
      <w:pPr>
        <w:spacing w:after="120"/>
      </w:pPr>
      <w:r>
        <w:t>Marketplace selling can help with early pipeline, but it is not the primary engine for high-value forward-deployed work.</w:t>
      </w:r>
    </w:p>
    <w:p>
      <w:pPr>
        <w:spacing w:after="120"/>
      </w:pPr>
      <w:r>
        <w:t>The most practical use of marketplaces is:</w:t>
      </w:r>
    </w:p>
    <w:p>
      <w:pPr>
        <w:pStyle w:val="ListBullet"/>
      </w:pPr>
      <w:r>
        <w:rPr>
          <w:sz w:val="22"/>
        </w:rPr>
        <w:t>early lead generation for narrow fixed-scope offers</w:t>
      </w:r>
    </w:p>
    <w:p>
      <w:pPr>
        <w:pStyle w:val="ListBullet"/>
      </w:pPr>
      <w:r>
        <w:rPr>
          <w:sz w:val="22"/>
        </w:rPr>
        <w:t>ecosystem-specific discovery when tied to a host platform</w:t>
      </w:r>
    </w:p>
    <w:p>
      <w:pPr>
        <w:pStyle w:val="ListBullet"/>
      </w:pPr>
      <w:r>
        <w:rPr>
          <w:sz w:val="22"/>
        </w:rPr>
        <w:t>later-stage procurement through cloud or app marketplaces once the product exists</w:t>
      </w:r>
    </w:p>
    <w:p>
      <w:pPr>
        <w:spacing w:after="120"/>
      </w:pPr>
      <w:r>
        <w:t>For Saudi and UAE, the commercial model should assume that relationship quality, local credibility, and operational seriousness matter more than pure software novelty.</w:t>
      </w:r>
    </w:p>
    <w:p>
      <w:pPr>
        <w:spacing w:after="120"/>
      </w:pPr>
      <w:r>
        <w:t>UAE is the easier initial landing zone. Saudi is the more strategic but more demanding market.</w:t>
      </w:r>
    </w:p>
    <w:p>
      <w:pPr>
        <w:pStyle w:val="Heading1"/>
      </w:pPr>
      <w:r>
        <w:t>What the existing deliverables imply</w:t>
      </w:r>
    </w:p>
    <w:p>
      <w:pPr>
        <w:spacing w:after="120"/>
      </w:pPr>
      <w:r>
        <w:t>Across the prior strategy and PRD work, five conclusions are consistent.</w:t>
      </w:r>
    </w:p>
    <w:p>
      <w:pPr>
        <w:pStyle w:val="Heading2"/>
      </w:pPr>
      <w:r>
        <w:t>1. Services should be used as the discovery engine</w:t>
      </w:r>
    </w:p>
    <w:p>
      <w:pPr>
        <w:spacing w:after="120"/>
      </w:pPr>
      <w:r>
        <w:t>The consultancy should not try to skip directly to product.</w:t>
      </w:r>
    </w:p>
    <w:p>
      <w:pPr>
        <w:spacing w:after="120"/>
      </w:pPr>
      <w:r>
        <w:t>The services layer is where the company learns:</w:t>
      </w:r>
    </w:p>
    <w:p>
      <w:pPr>
        <w:pStyle w:val="ListBullet"/>
      </w:pPr>
      <w:r>
        <w:rPr>
          <w:sz w:val="22"/>
        </w:rPr>
        <w:t>which workflows repeat</w:t>
      </w:r>
    </w:p>
    <w:p>
      <w:pPr>
        <w:pStyle w:val="ListBullet"/>
      </w:pPr>
      <w:r>
        <w:rPr>
          <w:sz w:val="22"/>
        </w:rPr>
        <w:t>where buyers feel the pain most acutely</w:t>
      </w:r>
    </w:p>
    <w:p>
      <w:pPr>
        <w:pStyle w:val="ListBullet"/>
      </w:pPr>
      <w:r>
        <w:rPr>
          <w:sz w:val="22"/>
        </w:rPr>
        <w:t>what data and governance structures must exist</w:t>
      </w:r>
    </w:p>
    <w:p>
      <w:pPr>
        <w:pStyle w:val="ListBullet"/>
      </w:pPr>
      <w:r>
        <w:rPr>
          <w:sz w:val="22"/>
        </w:rPr>
        <w:t>which features create real willingness to pay</w:t>
      </w:r>
    </w:p>
    <w:p>
      <w:pPr>
        <w:pStyle w:val="Heading2"/>
      </w:pPr>
      <w:r>
        <w:t>2. The company should sell execution systems, not AI theater</w:t>
      </w:r>
    </w:p>
    <w:p>
      <w:pPr>
        <w:spacing w:after="120"/>
      </w:pPr>
      <w:r>
        <w:t>The most credible positioning is:</w:t>
      </w:r>
    </w:p>
    <w:p>
      <w:pPr>
        <w:pStyle w:val="ListBullet"/>
      </w:pPr>
      <w:r>
        <w:rPr>
          <w:sz w:val="22"/>
        </w:rPr>
        <w:t>operational drag reduction</w:t>
      </w:r>
    </w:p>
    <w:p>
      <w:pPr>
        <w:pStyle w:val="ListBullet"/>
      </w:pPr>
      <w:r>
        <w:rPr>
          <w:sz w:val="22"/>
        </w:rPr>
        <w:t>multi-step workflow reliability</w:t>
      </w:r>
    </w:p>
    <w:p>
      <w:pPr>
        <w:pStyle w:val="ListBullet"/>
      </w:pPr>
      <w:r>
        <w:rPr>
          <w:sz w:val="22"/>
        </w:rPr>
        <w:t>institutional knowledge retention</w:t>
      </w:r>
    </w:p>
    <w:p>
      <w:pPr>
        <w:pStyle w:val="ListBullet"/>
      </w:pPr>
      <w:r>
        <w:rPr>
          <w:sz w:val="22"/>
        </w:rPr>
        <w:t>governed human + agent execution</w:t>
      </w:r>
    </w:p>
    <w:p>
      <w:pPr>
        <w:spacing w:after="120"/>
      </w:pPr>
      <w:r>
        <w:t>This avoids commodity AI messaging and keeps the sales narrative tied to measurable business improvement.</w:t>
      </w:r>
    </w:p>
    <w:p>
      <w:pPr>
        <w:pStyle w:val="Heading2"/>
      </w:pPr>
      <w:r>
        <w:t>3. The first real moat is memory, then workflow, then control</w:t>
      </w:r>
    </w:p>
    <w:p>
      <w:pPr>
        <w:spacing w:after="120"/>
      </w:pPr>
      <w:r>
        <w:t>Memory makes the company cumulative.</w:t>
      </w:r>
    </w:p>
    <w:p>
      <w:pPr>
        <w:spacing w:after="120"/>
      </w:pPr>
      <w:r>
        <w:t>Workflow makes the company operationally scalable.</w:t>
      </w:r>
    </w:p>
    <w:p>
      <w:pPr>
        <w:spacing w:after="120"/>
      </w:pPr>
      <w:r>
        <w:t>Control plane makes the system governable as complexity grows.</w:t>
      </w:r>
    </w:p>
    <w:p>
      <w:pPr>
        <w:pStyle w:val="Heading2"/>
      </w:pPr>
      <w:r>
        <w:t>4. Forward deployment is not a temporary bridge; it is the adoption model</w:t>
      </w:r>
    </w:p>
    <w:p>
      <w:pPr>
        <w:spacing w:after="120"/>
      </w:pPr>
      <w:r>
        <w:t>For higher-value accounts, especially enterprise and regionally complex accounts, forward deployment is how the product becomes real.</w:t>
      </w:r>
    </w:p>
    <w:p>
      <w:pPr>
        <w:spacing w:after="120"/>
      </w:pPr>
      <w:r>
        <w:t>It helps with:</w:t>
      </w:r>
    </w:p>
    <w:p>
      <w:pPr>
        <w:pStyle w:val="ListBullet"/>
      </w:pPr>
      <w:r>
        <w:rPr>
          <w:sz w:val="22"/>
        </w:rPr>
        <w:t>onboarding</w:t>
      </w:r>
    </w:p>
    <w:p>
      <w:pPr>
        <w:pStyle w:val="ListBullet"/>
      </w:pPr>
      <w:r>
        <w:rPr>
          <w:sz w:val="22"/>
        </w:rPr>
        <w:t>trust</w:t>
      </w:r>
    </w:p>
    <w:p>
      <w:pPr>
        <w:pStyle w:val="ListBullet"/>
      </w:pPr>
      <w:r>
        <w:rPr>
          <w:sz w:val="22"/>
        </w:rPr>
        <w:t>workflow mapping</w:t>
      </w:r>
    </w:p>
    <w:p>
      <w:pPr>
        <w:pStyle w:val="ListBullet"/>
      </w:pPr>
      <w:r>
        <w:rPr>
          <w:sz w:val="22"/>
        </w:rPr>
        <w:t>change management</w:t>
      </w:r>
    </w:p>
    <w:p>
      <w:pPr>
        <w:pStyle w:val="ListBullet"/>
      </w:pPr>
      <w:r>
        <w:rPr>
          <w:sz w:val="22"/>
        </w:rPr>
        <w:t>approval design</w:t>
      </w:r>
    </w:p>
    <w:p>
      <w:pPr>
        <w:pStyle w:val="ListBullet"/>
      </w:pPr>
      <w:r>
        <w:rPr>
          <w:sz w:val="22"/>
        </w:rPr>
        <w:t>localization of the operating model</w:t>
      </w:r>
    </w:p>
    <w:p>
      <w:pPr>
        <w:pStyle w:val="Heading2"/>
      </w:pPr>
      <w:r>
        <w:t>5. Productization should happen only where repeatability is proven</w:t>
      </w:r>
    </w:p>
    <w:p>
      <w:pPr>
        <w:spacing w:after="120"/>
      </w:pPr>
      <w:r>
        <w:t>Anything repeated three or more times should trigger a productization review.</w:t>
      </w:r>
    </w:p>
    <w:p>
      <w:pPr>
        <w:spacing w:after="120"/>
      </w:pPr>
      <w:r>
        <w:t>Anything highly custom, politically sensitive, or dependent on executive judgment should remain service-heavy longer.</w:t>
      </w:r>
    </w:p>
    <w:p>
      <w:pPr>
        <w:pStyle w:val="Heading1"/>
      </w:pPr>
      <w:r>
        <w:t>Assessment of the forward deployment model</w:t>
      </w:r>
    </w:p>
    <w:p>
      <w:pPr>
        <w:pStyle w:val="Heading1"/>
      </w:pPr>
      <w:r>
        <w:t>What forward deployment means here</w:t>
      </w:r>
    </w:p>
    <w:p>
      <w:pPr>
        <w:spacing w:after="120"/>
      </w:pPr>
      <w:r>
        <w:t>In this project, forward deployment should mean a hybrid operating model in which:</w:t>
      </w:r>
    </w:p>
    <w:p>
      <w:pPr>
        <w:pStyle w:val="ListBullet"/>
      </w:pPr>
      <w:r>
        <w:rPr>
          <w:sz w:val="22"/>
        </w:rPr>
        <w:t>the company embeds close to client operations during the early and mid phases of delivery</w:t>
      </w:r>
    </w:p>
    <w:p>
      <w:pPr>
        <w:pStyle w:val="ListBullet"/>
      </w:pPr>
      <w:r>
        <w:rPr>
          <w:sz w:val="22"/>
        </w:rPr>
        <w:t>consultants or operators configure workflows, memory structures, governance, and agent behavior in context</w:t>
      </w:r>
    </w:p>
    <w:p>
      <w:pPr>
        <w:pStyle w:val="ListBullet"/>
      </w:pPr>
      <w:r>
        <w:rPr>
          <w:sz w:val="22"/>
        </w:rPr>
        <w:t>the product becomes more standardized behind the scenes over time</w:t>
      </w:r>
    </w:p>
    <w:p>
      <w:pPr>
        <w:spacing w:after="120"/>
      </w:pPr>
      <w:r>
        <w:t>This is not generic staff augmentation.</w:t>
      </w:r>
    </w:p>
    <w:p>
      <w:pPr>
        <w:spacing w:after="120"/>
      </w:pPr>
      <w:r>
        <w:t>This is structured embedding to make software adoption and operational change work.</w:t>
      </w:r>
    </w:p>
    <w:p>
      <w:pPr>
        <w:pStyle w:val="Heading1"/>
      </w:pPr>
      <w:r>
        <w:t>Why forward deployment is strategically strong</w:t>
      </w:r>
    </w:p>
    <w:p>
      <w:pPr>
        <w:pStyle w:val="Heading2"/>
      </w:pPr>
      <w:r>
        <w:t>1. It increases win rate for non-obvious products</w:t>
      </w:r>
    </w:p>
    <w:p>
      <w:pPr>
        <w:spacing w:after="120"/>
      </w:pPr>
      <w:r>
        <w:t>Products like workflow agents, memory systems, and control planes are hard to buy cold because the buyer often cannot map them to their existing operations.</w:t>
      </w:r>
    </w:p>
    <w:p>
      <w:pPr>
        <w:spacing w:after="120"/>
      </w:pPr>
      <w:r>
        <w:t>Forward deployment reduces this friction.</w:t>
      </w:r>
    </w:p>
    <w:p>
      <w:pPr>
        <w:pStyle w:val="Heading2"/>
      </w:pPr>
      <w:r>
        <w:t>2. It reduces churn risk</w:t>
      </w:r>
    </w:p>
    <w:p>
      <w:pPr>
        <w:spacing w:after="120"/>
      </w:pPr>
      <w:r>
        <w:t>The biggest cause of failure in systems like this is not model quality. It is poor operational fit.</w:t>
      </w:r>
    </w:p>
    <w:p>
      <w:pPr>
        <w:spacing w:after="120"/>
      </w:pPr>
      <w:r>
        <w:t>Forward deployment improves fit before the account drifts.</w:t>
      </w:r>
    </w:p>
    <w:p>
      <w:pPr>
        <w:pStyle w:val="Heading2"/>
      </w:pPr>
      <w:r>
        <w:t>3. It surfaces the real product roadmap</w:t>
      </w:r>
    </w:p>
    <w:p>
      <w:pPr>
        <w:spacing w:after="120"/>
      </w:pPr>
      <w:r>
        <w:t>Clients rarely describe the true product requirement clearly at the start.</w:t>
      </w:r>
    </w:p>
    <w:p>
      <w:pPr>
        <w:spacing w:after="120"/>
      </w:pPr>
      <w:r>
        <w:t>The forward-deployed layer discovers the real requirement in action.</w:t>
      </w:r>
    </w:p>
    <w:p>
      <w:pPr>
        <w:pStyle w:val="Heading2"/>
      </w:pPr>
      <w:r>
        <w:t>4. It creates account expansion opportunities</w:t>
      </w:r>
    </w:p>
    <w:p>
      <w:pPr>
        <w:spacing w:after="120"/>
      </w:pPr>
      <w:r>
        <w:t>Once one workflow works, adjacent functions often become obvious.</w:t>
      </w:r>
    </w:p>
    <w:p>
      <w:pPr>
        <w:spacing w:after="120"/>
      </w:pPr>
      <w:r>
        <w:t>That makes expansion easier than trying to sell a large platform upfront.</w:t>
      </w:r>
    </w:p>
    <w:p>
      <w:pPr>
        <w:pStyle w:val="Heading1"/>
      </w:pPr>
      <w:r>
        <w:t>Where forward deployment can go wrong</w:t>
      </w:r>
    </w:p>
    <w:p>
      <w:pPr>
        <w:pStyle w:val="Heading2"/>
      </w:pPr>
      <w:r>
        <w:t>1. Becoming a pure custom consultancy</w:t>
      </w:r>
    </w:p>
    <w:p>
      <w:pPr>
        <w:spacing w:after="120"/>
      </w:pPr>
      <w:r>
        <w:t>If the team does not standardize what it learns, forward deployment becomes expensive custom labor.</w:t>
      </w:r>
    </w:p>
    <w:p>
      <w:pPr>
        <w:pStyle w:val="Heading2"/>
      </w:pPr>
      <w:r>
        <w:t>2. Weak pricing discipline</w:t>
      </w:r>
    </w:p>
    <w:p>
      <w:pPr>
        <w:spacing w:after="120"/>
      </w:pPr>
      <w:r>
        <w:t>If the embedded work is underpriced, the company subsidizes product discovery without capturing enough value.</w:t>
      </w:r>
    </w:p>
    <w:p>
      <w:pPr>
        <w:pStyle w:val="Heading2"/>
      </w:pPr>
      <w:r>
        <w:t>3. No separation between reusable core and client-specific edge</w:t>
      </w:r>
    </w:p>
    <w:p>
      <w:pPr>
        <w:spacing w:after="120"/>
      </w:pPr>
      <w:r>
        <w:t>The team must distinguish:</w:t>
      </w:r>
    </w:p>
    <w:p>
      <w:pPr>
        <w:pStyle w:val="ListBullet"/>
      </w:pPr>
      <w:r>
        <w:rPr>
          <w:sz w:val="22"/>
        </w:rPr>
        <w:t>reusable product core</w:t>
      </w:r>
    </w:p>
    <w:p>
      <w:pPr>
        <w:pStyle w:val="ListBullet"/>
      </w:pPr>
      <w:r>
        <w:rPr>
          <w:sz w:val="22"/>
        </w:rPr>
        <w:t>configurable templates</w:t>
      </w:r>
    </w:p>
    <w:p>
      <w:pPr>
        <w:pStyle w:val="ListBullet"/>
      </w:pPr>
      <w:r>
        <w:rPr>
          <w:sz w:val="22"/>
        </w:rPr>
        <w:t>client-specific exceptions</w:t>
      </w:r>
    </w:p>
    <w:p>
      <w:pPr>
        <w:pStyle w:val="Heading2"/>
      </w:pPr>
      <w:r>
        <w:t>4. Over-embedding too early in low-value accounts</w:t>
      </w:r>
    </w:p>
    <w:p>
      <w:pPr>
        <w:spacing w:after="120"/>
      </w:pPr>
      <w:r>
        <w:t>Forward deployment should be reserved for accounts with one or more of these characteristics:</w:t>
      </w:r>
    </w:p>
    <w:p>
      <w:pPr>
        <w:pStyle w:val="ListBullet"/>
      </w:pPr>
      <w:r>
        <w:rPr>
          <w:sz w:val="22"/>
        </w:rPr>
        <w:t>high ACV potential</w:t>
      </w:r>
    </w:p>
    <w:p>
      <w:pPr>
        <w:pStyle w:val="ListBullet"/>
      </w:pPr>
      <w:r>
        <w:rPr>
          <w:sz w:val="22"/>
        </w:rPr>
        <w:t>complex multi-team workflow environment</w:t>
      </w:r>
    </w:p>
    <w:p>
      <w:pPr>
        <w:pStyle w:val="ListBullet"/>
      </w:pPr>
      <w:r>
        <w:rPr>
          <w:sz w:val="22"/>
        </w:rPr>
        <w:t>strong strategic logo value</w:t>
      </w:r>
    </w:p>
    <w:p>
      <w:pPr>
        <w:pStyle w:val="ListBullet"/>
      </w:pPr>
      <w:r>
        <w:rPr>
          <w:sz w:val="22"/>
        </w:rPr>
        <w:t>credible expansion path</w:t>
      </w:r>
    </w:p>
    <w:p>
      <w:pPr>
        <w:pStyle w:val="Heading1"/>
      </w:pPr>
      <w:r>
        <w:t>Recommended operating model</w:t>
      </w:r>
    </w:p>
    <w:p>
      <w:pPr>
        <w:spacing w:after="120"/>
      </w:pPr>
      <w:r>
        <w:t>Use a two-track delivery structure.</w:t>
      </w:r>
    </w:p>
    <w:p>
      <w:pPr>
        <w:pStyle w:val="Heading2"/>
      </w:pPr>
      <w:r>
        <w:t>Track A: productized service offers</w:t>
      </w:r>
    </w:p>
    <w:p>
      <w:pPr>
        <w:spacing w:after="120"/>
      </w:pPr>
      <w:r>
        <w:t>Examples:</w:t>
      </w:r>
    </w:p>
    <w:p>
      <w:pPr>
        <w:pStyle w:val="ListBullet"/>
      </w:pPr>
      <w:r>
        <w:rPr>
          <w:sz w:val="22"/>
        </w:rPr>
        <w:t>workflow audit sprint</w:t>
      </w:r>
    </w:p>
    <w:p>
      <w:pPr>
        <w:pStyle w:val="ListBullet"/>
      </w:pPr>
      <w:r>
        <w:rPr>
          <w:sz w:val="22"/>
        </w:rPr>
        <w:t>agent-readiness assessment</w:t>
      </w:r>
    </w:p>
    <w:p>
      <w:pPr>
        <w:pStyle w:val="ListBullet"/>
      </w:pPr>
      <w:r>
        <w:rPr>
          <w:sz w:val="22"/>
        </w:rPr>
        <w:t>knowledge-system design sprint</w:t>
      </w:r>
    </w:p>
    <w:p>
      <w:pPr>
        <w:pStyle w:val="ListBullet"/>
      </w:pPr>
      <w:r>
        <w:rPr>
          <w:sz w:val="22"/>
        </w:rPr>
        <w:t>long-horizon workflow pilot</w:t>
      </w:r>
    </w:p>
    <w:p>
      <w:pPr>
        <w:spacing w:after="120"/>
      </w:pPr>
      <w:r>
        <w:t>Goal:</w:t>
      </w:r>
    </w:p>
    <w:p>
      <w:pPr>
        <w:pStyle w:val="ListBullet"/>
      </w:pPr>
      <w:r>
        <w:rPr>
          <w:sz w:val="22"/>
        </w:rPr>
        <w:t>create near-term revenue</w:t>
      </w:r>
    </w:p>
    <w:p>
      <w:pPr>
        <w:pStyle w:val="ListBullet"/>
      </w:pPr>
      <w:r>
        <w:rPr>
          <w:sz w:val="22"/>
        </w:rPr>
        <w:t>validate demand cheaply</w:t>
      </w:r>
    </w:p>
    <w:p>
      <w:pPr>
        <w:pStyle w:val="ListBullet"/>
      </w:pPr>
      <w:r>
        <w:rPr>
          <w:sz w:val="22"/>
        </w:rPr>
        <w:t>create repeatable packaging</w:t>
      </w:r>
    </w:p>
    <w:p>
      <w:pPr>
        <w:pStyle w:val="Heading2"/>
      </w:pPr>
      <w:r>
        <w:t>Track B: forward-deployed strategic accounts</w:t>
      </w:r>
    </w:p>
    <w:p>
      <w:pPr>
        <w:spacing w:after="120"/>
      </w:pPr>
      <w:r>
        <w:t>Examples:</w:t>
      </w:r>
    </w:p>
    <w:p>
      <w:pPr>
        <w:pStyle w:val="ListBullet"/>
      </w:pPr>
      <w:r>
        <w:rPr>
          <w:sz w:val="22"/>
        </w:rPr>
        <w:t>enterprise onboarding and implementation</w:t>
      </w:r>
    </w:p>
    <w:p>
      <w:pPr>
        <w:pStyle w:val="ListBullet"/>
      </w:pPr>
      <w:r>
        <w:rPr>
          <w:sz w:val="22"/>
        </w:rPr>
        <w:t>multi-workflow operational rollout</w:t>
      </w:r>
    </w:p>
    <w:p>
      <w:pPr>
        <w:pStyle w:val="ListBullet"/>
      </w:pPr>
      <w:r>
        <w:rPr>
          <w:sz w:val="22"/>
        </w:rPr>
        <w:t>memory/governance layer for a large internal transformation program</w:t>
      </w:r>
    </w:p>
    <w:p>
      <w:pPr>
        <w:spacing w:after="120"/>
      </w:pPr>
      <w:r>
        <w:t>Goal:</w:t>
      </w:r>
    </w:p>
    <w:p>
      <w:pPr>
        <w:pStyle w:val="ListBullet"/>
      </w:pPr>
      <w:r>
        <w:rPr>
          <w:sz w:val="22"/>
        </w:rPr>
        <w:t>land high-value accounts</w:t>
      </w:r>
    </w:p>
    <w:p>
      <w:pPr>
        <w:pStyle w:val="ListBullet"/>
      </w:pPr>
      <w:r>
        <w:rPr>
          <w:sz w:val="22"/>
        </w:rPr>
        <w:t>shape roadmap from real usage</w:t>
      </w:r>
    </w:p>
    <w:p>
      <w:pPr>
        <w:pStyle w:val="ListBullet"/>
      </w:pPr>
      <w:r>
        <w:rPr>
          <w:sz w:val="22"/>
        </w:rPr>
        <w:t>establish durable retained revenue</w:t>
      </w:r>
    </w:p>
    <w:p>
      <w:pPr>
        <w:pStyle w:val="Heading1"/>
      </w:pPr>
      <w:r>
        <w:t>Commercial recommendation</w:t>
      </w:r>
    </w:p>
    <w:p>
      <w:pPr>
        <w:spacing w:after="120"/>
      </w:pPr>
      <w:r>
        <w:t>The best commercial structure is:</w:t>
      </w:r>
    </w:p>
    <w:p>
      <w:pPr>
        <w:pStyle w:val="ListBullet"/>
      </w:pPr>
      <w:r>
        <w:rPr>
          <w:sz w:val="22"/>
        </w:rPr>
        <w:t>paid diagnostic or design sprint</w:t>
      </w:r>
    </w:p>
    <w:p>
      <w:pPr>
        <w:pStyle w:val="ListBullet"/>
      </w:pPr>
      <w:r>
        <w:rPr>
          <w:sz w:val="22"/>
        </w:rPr>
        <w:t>fixed-scope pilot</w:t>
      </w:r>
    </w:p>
    <w:p>
      <w:pPr>
        <w:pStyle w:val="ListBullet"/>
      </w:pPr>
      <w:r>
        <w:rPr>
          <w:sz w:val="22"/>
        </w:rPr>
        <w:t>forward-deployed implementation phase</w:t>
      </w:r>
    </w:p>
    <w:p>
      <w:pPr>
        <w:pStyle w:val="ListBullet"/>
      </w:pPr>
      <w:r>
        <w:rPr>
          <w:sz w:val="22"/>
        </w:rPr>
        <w:t>ongoing managed service and/or subscription module</w:t>
      </w:r>
    </w:p>
    <w:p>
      <w:pPr>
        <w:spacing w:after="120"/>
      </w:pPr>
      <w:r>
        <w:t>That sequencing keeps value capture aligned with risk.</w:t>
      </w:r>
    </w:p>
    <w:p>
      <w:pPr>
        <w:pStyle w:val="Heading1"/>
      </w:pPr>
      <w:r>
        <w:t>Assessment of selling through marketplaces</w:t>
      </w:r>
    </w:p>
    <w:p>
      <w:pPr>
        <w:spacing w:after="120"/>
      </w:pPr>
      <w:r>
        <w:t>Marketplace selling should be treated as a tactical input, not the strategic GTM core.</w:t>
      </w:r>
    </w:p>
    <w:p>
      <w:pPr>
        <w:pStyle w:val="Heading1"/>
      </w:pPr>
      <w:r>
        <w:t>Marketplace categories</w:t>
      </w:r>
    </w:p>
    <w:p>
      <w:pPr>
        <w:pStyle w:val="Heading2"/>
      </w:pPr>
      <w:r>
        <w:t>1. Service marketplaces / talent platforms</w:t>
      </w:r>
    </w:p>
    <w:p>
      <w:pPr>
        <w:spacing w:after="120"/>
      </w:pPr>
      <w:r>
        <w:t>Examples:</w:t>
      </w:r>
    </w:p>
    <w:p>
      <w:pPr>
        <w:pStyle w:val="ListBullet"/>
      </w:pPr>
      <w:r>
        <w:rPr>
          <w:sz w:val="22"/>
        </w:rPr>
        <w:t>Upwork</w:t>
      </w:r>
    </w:p>
    <w:p>
      <w:pPr>
        <w:pStyle w:val="ListBullet"/>
      </w:pPr>
      <w:r>
        <w:rPr>
          <w:sz w:val="22"/>
        </w:rPr>
        <w:t>Contra</w:t>
      </w:r>
    </w:p>
    <w:p>
      <w:pPr>
        <w:pStyle w:val="ListBullet"/>
      </w:pPr>
      <w:r>
        <w:rPr>
          <w:sz w:val="22"/>
        </w:rPr>
        <w:t>Toptal</w:t>
      </w:r>
    </w:p>
    <w:p>
      <w:pPr>
        <w:pStyle w:val="ListBullet"/>
      </w:pPr>
      <w:r>
        <w:rPr>
          <w:sz w:val="22"/>
        </w:rPr>
        <w:t>Fiverr Pro</w:t>
      </w:r>
    </w:p>
    <w:p>
      <w:pPr>
        <w:pStyle w:val="Heading2"/>
      </w:pPr>
      <w:r>
        <w:t>2. Review/directories / credibility marketplaces</w:t>
      </w:r>
    </w:p>
    <w:p>
      <w:pPr>
        <w:spacing w:after="120"/>
      </w:pPr>
      <w:r>
        <w:t>Examples:</w:t>
      </w:r>
    </w:p>
    <w:p>
      <w:pPr>
        <w:pStyle w:val="ListBullet"/>
      </w:pPr>
      <w:r>
        <w:rPr>
          <w:sz w:val="22"/>
        </w:rPr>
        <w:t>Clutch</w:t>
      </w:r>
    </w:p>
    <w:p>
      <w:pPr>
        <w:pStyle w:val="ListBullet"/>
      </w:pPr>
      <w:r>
        <w:rPr>
          <w:sz w:val="22"/>
        </w:rPr>
        <w:t>partner directories</w:t>
      </w:r>
    </w:p>
    <w:p>
      <w:pPr>
        <w:pStyle w:val="Heading2"/>
      </w:pPr>
      <w:r>
        <w:t>3. Product and ecosystem marketplaces</w:t>
      </w:r>
    </w:p>
    <w:p>
      <w:pPr>
        <w:spacing w:after="120"/>
      </w:pPr>
      <w:r>
        <w:t>Examples:</w:t>
      </w:r>
    </w:p>
    <w:p>
      <w:pPr>
        <w:pStyle w:val="ListBullet"/>
      </w:pPr>
      <w:r>
        <w:rPr>
          <w:sz w:val="22"/>
        </w:rPr>
        <w:t>Shopify App Store</w:t>
      </w:r>
    </w:p>
    <w:p>
      <w:pPr>
        <w:pStyle w:val="ListBullet"/>
      </w:pPr>
      <w:r>
        <w:rPr>
          <w:sz w:val="22"/>
        </w:rPr>
        <w:t>HubSpot App Marketplace</w:t>
      </w:r>
    </w:p>
    <w:p>
      <w:pPr>
        <w:pStyle w:val="ListBullet"/>
      </w:pPr>
      <w:r>
        <w:rPr>
          <w:sz w:val="22"/>
        </w:rPr>
        <w:t>Slack Marketplace</w:t>
      </w:r>
    </w:p>
    <w:p>
      <w:pPr>
        <w:pStyle w:val="ListBullet"/>
      </w:pPr>
      <w:r>
        <w:rPr>
          <w:sz w:val="22"/>
        </w:rPr>
        <w:t>Salesforce AppExchange</w:t>
      </w:r>
    </w:p>
    <w:p>
      <w:pPr>
        <w:pStyle w:val="Heading2"/>
      </w:pPr>
      <w:r>
        <w:t>4. Procurement marketplaces</w:t>
      </w:r>
    </w:p>
    <w:p>
      <w:pPr>
        <w:spacing w:after="120"/>
      </w:pPr>
      <w:r>
        <w:t>Examples:</w:t>
      </w:r>
    </w:p>
    <w:p>
      <w:pPr>
        <w:pStyle w:val="ListBullet"/>
      </w:pPr>
      <w:r>
        <w:rPr>
          <w:sz w:val="22"/>
        </w:rPr>
        <w:t>AWS Marketplace</w:t>
      </w:r>
    </w:p>
    <w:p>
      <w:pPr>
        <w:pStyle w:val="ListBullet"/>
      </w:pPr>
      <w:r>
        <w:rPr>
          <w:sz w:val="22"/>
        </w:rPr>
        <w:t>Microsoft AppSource / Azure Marketplace</w:t>
      </w:r>
    </w:p>
    <w:p>
      <w:pPr>
        <w:pStyle w:val="Heading1"/>
      </w:pPr>
      <w:r>
        <w:t>Best use of marketplaces by stage</w:t>
      </w:r>
    </w:p>
    <w:p>
      <w:pPr>
        <w:pStyle w:val="Heading2"/>
      </w:pPr>
      <w:r>
        <w:t>Early stage</w:t>
      </w:r>
    </w:p>
    <w:p>
      <w:pPr>
        <w:spacing w:after="120"/>
      </w:pPr>
      <w:r>
        <w:t>Best use:</w:t>
      </w:r>
    </w:p>
    <w:p>
      <w:pPr>
        <w:pStyle w:val="ListBullet"/>
      </w:pPr>
      <w:r>
        <w:rPr>
          <w:sz w:val="22"/>
        </w:rPr>
        <w:t>source narrow, fixed-scope leads</w:t>
      </w:r>
    </w:p>
    <w:p>
      <w:pPr>
        <w:pStyle w:val="ListBullet"/>
      </w:pPr>
      <w:r>
        <w:rPr>
          <w:sz w:val="22"/>
        </w:rPr>
        <w:t>validate pricing and pain intensity</w:t>
      </w:r>
    </w:p>
    <w:p>
      <w:pPr>
        <w:pStyle w:val="ListBullet"/>
      </w:pPr>
      <w:r>
        <w:rPr>
          <w:sz w:val="22"/>
        </w:rPr>
        <w:t>learn objections</w:t>
      </w:r>
    </w:p>
    <w:p>
      <w:pPr>
        <w:spacing w:after="120"/>
      </w:pPr>
      <w:r>
        <w:t>Best channels:</w:t>
      </w:r>
    </w:p>
    <w:p>
      <w:pPr>
        <w:pStyle w:val="ListBullet"/>
      </w:pPr>
      <w:r>
        <w:rPr>
          <w:sz w:val="22"/>
        </w:rPr>
        <w:t>Upwork for near-term lead volume</w:t>
      </w:r>
    </w:p>
    <w:p>
      <w:pPr>
        <w:pStyle w:val="ListBullet"/>
      </w:pPr>
      <w:r>
        <w:rPr>
          <w:sz w:val="22"/>
        </w:rPr>
        <w:t>Contra for cleaner positioning and higher-signal creative/tech buyers</w:t>
      </w:r>
    </w:p>
    <w:p>
      <w:pPr>
        <w:pStyle w:val="ListBullet"/>
      </w:pPr>
      <w:r>
        <w:rPr>
          <w:sz w:val="22"/>
        </w:rPr>
        <w:t>ecosystem-specific directories if the wedge is platform-native</w:t>
      </w:r>
    </w:p>
    <w:p>
      <w:pPr>
        <w:spacing w:after="120"/>
      </w:pPr>
      <w:r>
        <w:t>Avoid relying on:</w:t>
      </w:r>
    </w:p>
    <w:p>
      <w:pPr>
        <w:pStyle w:val="ListBullet"/>
      </w:pPr>
      <w:r>
        <w:rPr>
          <w:sz w:val="22"/>
        </w:rPr>
        <w:t>Fiverr-style low-end gig marketplaces for strategic work</w:t>
      </w:r>
    </w:p>
    <w:p>
      <w:pPr>
        <w:pStyle w:val="ListBullet"/>
      </w:pPr>
      <w:r>
        <w:rPr>
          <w:sz w:val="22"/>
        </w:rPr>
        <w:t>generic AI directories with weak buyer intent</w:t>
      </w:r>
    </w:p>
    <w:p>
      <w:pPr>
        <w:pStyle w:val="Heading2"/>
      </w:pPr>
      <w:r>
        <w:t>Mid stage</w:t>
      </w:r>
    </w:p>
    <w:p>
      <w:pPr>
        <w:spacing w:after="120"/>
      </w:pPr>
      <w:r>
        <w:t>Best use:</w:t>
      </w:r>
    </w:p>
    <w:p>
      <w:pPr>
        <w:pStyle w:val="ListBullet"/>
      </w:pPr>
      <w:r>
        <w:rPr>
          <w:sz w:val="22"/>
        </w:rPr>
        <w:t>ecosystem-native app or partner marketplaces once there is a real productized module</w:t>
      </w:r>
    </w:p>
    <w:p>
      <w:pPr>
        <w:spacing w:after="120"/>
      </w:pPr>
      <w:r>
        <w:t>Best channels:</w:t>
      </w:r>
    </w:p>
    <w:p>
      <w:pPr>
        <w:pStyle w:val="ListBullet"/>
      </w:pPr>
      <w:r>
        <w:rPr>
          <w:sz w:val="22"/>
        </w:rPr>
        <w:t>Shopify App Store if the product wedge is merchant workflow or support operations</w:t>
      </w:r>
    </w:p>
    <w:p>
      <w:pPr>
        <w:pStyle w:val="ListBullet"/>
      </w:pPr>
      <w:r>
        <w:rPr>
          <w:sz w:val="22"/>
        </w:rPr>
        <w:t>HubSpot App Marketplace if the wedge is CRM/revops workflow</w:t>
      </w:r>
    </w:p>
    <w:p>
      <w:pPr>
        <w:pStyle w:val="ListBullet"/>
      </w:pPr>
      <w:r>
        <w:rPr>
          <w:sz w:val="22"/>
        </w:rPr>
        <w:t>Slack Marketplace if the wedge is workplace-native assistant or workflow coordination</w:t>
      </w:r>
    </w:p>
    <w:p>
      <w:pPr>
        <w:pStyle w:val="Heading2"/>
      </w:pPr>
      <w:r>
        <w:t>Later stage</w:t>
      </w:r>
    </w:p>
    <w:p>
      <w:pPr>
        <w:spacing w:after="120"/>
      </w:pPr>
      <w:r>
        <w:t>Best use:</w:t>
      </w:r>
    </w:p>
    <w:p>
      <w:pPr>
        <w:pStyle w:val="ListBullet"/>
      </w:pPr>
      <w:r>
        <w:rPr>
          <w:sz w:val="22"/>
        </w:rPr>
        <w:t>enterprise procurement convenience</w:t>
      </w:r>
    </w:p>
    <w:p>
      <w:pPr>
        <w:pStyle w:val="ListBullet"/>
      </w:pPr>
      <w:r>
        <w:rPr>
          <w:sz w:val="22"/>
        </w:rPr>
        <w:t>budget-holder compliance with existing cloud agreements</w:t>
      </w:r>
    </w:p>
    <w:p>
      <w:pPr>
        <w:spacing w:after="120"/>
      </w:pPr>
      <w:r>
        <w:t>Best channels:</w:t>
      </w:r>
    </w:p>
    <w:p>
      <w:pPr>
        <w:pStyle w:val="ListBullet"/>
      </w:pPr>
      <w:r>
        <w:rPr>
          <w:sz w:val="22"/>
        </w:rPr>
        <w:t>AWS Marketplace</w:t>
      </w:r>
    </w:p>
    <w:p>
      <w:pPr>
        <w:pStyle w:val="ListBullet"/>
      </w:pPr>
      <w:r>
        <w:rPr>
          <w:sz w:val="22"/>
        </w:rPr>
        <w:t>Microsoft AppSource / Azure Marketplace</w:t>
      </w:r>
    </w:p>
    <w:p>
      <w:pPr>
        <w:pStyle w:val="ListBullet"/>
      </w:pPr>
      <w:r>
        <w:rPr>
          <w:sz w:val="22"/>
        </w:rPr>
        <w:t>AppExchange only if truly Salesforce-native and worth the compliance burden</w:t>
      </w:r>
    </w:p>
    <w:p>
      <w:pPr>
        <w:pStyle w:val="Heading1"/>
      </w:pPr>
      <w:r>
        <w:t>Marketplace verdict</w:t>
      </w:r>
    </w:p>
    <w:p>
      <w:pPr>
        <w:pStyle w:val="Heading2"/>
      </w:pPr>
      <w:r>
        <w:t>Good for</w:t>
      </w:r>
    </w:p>
    <w:p>
      <w:pPr>
        <w:pStyle w:val="ListBullet"/>
      </w:pPr>
      <w:r>
        <w:rPr>
          <w:sz w:val="22"/>
        </w:rPr>
        <w:t>early lead flow</w:t>
      </w:r>
    </w:p>
    <w:p>
      <w:pPr>
        <w:pStyle w:val="ListBullet"/>
      </w:pPr>
      <w:r>
        <w:rPr>
          <w:sz w:val="22"/>
        </w:rPr>
        <w:t>small paid pilots</w:t>
      </w:r>
    </w:p>
    <w:p>
      <w:pPr>
        <w:pStyle w:val="ListBullet"/>
      </w:pPr>
      <w:r>
        <w:rPr>
          <w:sz w:val="22"/>
        </w:rPr>
        <w:t>ecosystem-specific discovery</w:t>
      </w:r>
    </w:p>
    <w:p>
      <w:pPr>
        <w:pStyle w:val="ListBullet"/>
      </w:pPr>
      <w:r>
        <w:rPr>
          <w:sz w:val="22"/>
        </w:rPr>
        <w:t>procurement acceleration after product maturity</w:t>
      </w:r>
    </w:p>
    <w:p>
      <w:pPr>
        <w:pStyle w:val="Heading2"/>
      </w:pPr>
      <w:r>
        <w:t>Bad for</w:t>
      </w:r>
    </w:p>
    <w:p>
      <w:pPr>
        <w:pStyle w:val="ListBullet"/>
      </w:pPr>
      <w:r>
        <w:rPr>
          <w:sz w:val="22"/>
        </w:rPr>
        <w:t>differentiated strategic positioning</w:t>
      </w:r>
    </w:p>
    <w:p>
      <w:pPr>
        <w:pStyle w:val="ListBullet"/>
      </w:pPr>
      <w:r>
        <w:rPr>
          <w:sz w:val="22"/>
        </w:rPr>
        <w:t>high-trust enterprise forward deployment sales</w:t>
      </w:r>
    </w:p>
    <w:p>
      <w:pPr>
        <w:pStyle w:val="ListBullet"/>
      </w:pPr>
      <w:r>
        <w:rPr>
          <w:sz w:val="22"/>
        </w:rPr>
        <w:t>regionally nuanced complex deals</w:t>
      </w:r>
    </w:p>
    <w:p>
      <w:pPr>
        <w:pStyle w:val="Heading2"/>
      </w:pPr>
      <w:r>
        <w:t>Recommendation</w:t>
      </w:r>
    </w:p>
    <w:p>
      <w:pPr>
        <w:spacing w:after="120"/>
      </w:pPr>
      <w:r>
        <w:t>Use marketplaces as a side channel for:</w:t>
      </w:r>
    </w:p>
    <w:p>
      <w:pPr>
        <w:pStyle w:val="ListBullet"/>
      </w:pPr>
      <w:r>
        <w:rPr>
          <w:sz w:val="22"/>
        </w:rPr>
        <w:t>fixed-scope diagnostic offers</w:t>
      </w:r>
    </w:p>
    <w:p>
      <w:pPr>
        <w:pStyle w:val="ListBullet"/>
      </w:pPr>
      <w:r>
        <w:rPr>
          <w:sz w:val="22"/>
        </w:rPr>
        <w:t>pilot offers</w:t>
      </w:r>
    </w:p>
    <w:p>
      <w:pPr>
        <w:pStyle w:val="ListBullet"/>
      </w:pPr>
      <w:r>
        <w:rPr>
          <w:sz w:val="22"/>
        </w:rPr>
        <w:t>ecosystem-native discovery</w:t>
      </w:r>
    </w:p>
    <w:p>
      <w:pPr>
        <w:spacing w:after="120"/>
      </w:pPr>
      <w:r>
        <w:t>Do not make them the main route for flagship forward-deployed accounts.</w:t>
      </w:r>
    </w:p>
    <w:p>
      <w:pPr>
        <w:pStyle w:val="Heading1"/>
      </w:pPr>
      <w:r>
        <w:t>Saudi / UAE / Middle East business nuances</w:t>
      </w:r>
    </w:p>
    <w:p>
      <w:pPr>
        <w:pStyle w:val="Heading1"/>
      </w:pPr>
      <w:r>
        <w:t>High-level view</w:t>
      </w:r>
    </w:p>
    <w:p>
      <w:pPr>
        <w:spacing w:after="120"/>
      </w:pPr>
      <w:r>
        <w:t>For this kind of consultancy + product model:</w:t>
      </w:r>
    </w:p>
    <w:p>
      <w:pPr>
        <w:pStyle w:val="ListBullet"/>
      </w:pPr>
      <w:r>
        <w:rPr>
          <w:sz w:val="22"/>
        </w:rPr>
        <w:t>UAE is the easiest commercial landing zone</w:t>
      </w:r>
    </w:p>
    <w:p>
      <w:pPr>
        <w:pStyle w:val="ListBullet"/>
      </w:pPr>
      <w:r>
        <w:rPr>
          <w:sz w:val="22"/>
        </w:rPr>
        <w:t>Saudi is the highest-upside strategic market if you are willing to invest in local seriousness</w:t>
      </w:r>
    </w:p>
    <w:p>
      <w:pPr>
        <w:spacing w:after="120"/>
      </w:pPr>
      <w:r>
        <w:t>The biggest regional mistake would be trying to sell this as a pure remote software product with generic messaging.</w:t>
      </w:r>
    </w:p>
    <w:p>
      <w:pPr>
        <w:pStyle w:val="Heading1"/>
      </w:pPr>
      <w:r>
        <w:t>Common regional truths</w:t>
      </w:r>
    </w:p>
    <w:p>
      <w:pPr>
        <w:spacing w:after="120"/>
      </w:pPr>
      <w:r>
        <w:t>Across both Saudi and UAE:</w:t>
      </w:r>
    </w:p>
    <w:p>
      <w:pPr>
        <w:pStyle w:val="ListBullet"/>
      </w:pPr>
      <w:r>
        <w:rPr>
          <w:sz w:val="22"/>
        </w:rPr>
        <w:t>trust matters before technical detail</w:t>
      </w:r>
    </w:p>
    <w:p>
      <w:pPr>
        <w:pStyle w:val="ListBullet"/>
      </w:pPr>
      <w:r>
        <w:rPr>
          <w:sz w:val="22"/>
        </w:rPr>
        <w:t>references and introductions matter</w:t>
      </w:r>
    </w:p>
    <w:p>
      <w:pPr>
        <w:pStyle w:val="ListBullet"/>
      </w:pPr>
      <w:r>
        <w:rPr>
          <w:sz w:val="22"/>
        </w:rPr>
        <w:t>senior buyers want confidence in support and continuity</w:t>
      </w:r>
    </w:p>
    <w:p>
      <w:pPr>
        <w:pStyle w:val="ListBullet"/>
      </w:pPr>
      <w:r>
        <w:rPr>
          <w:sz w:val="22"/>
        </w:rPr>
        <w:t>face-to-face interaction still carries outsized weight</w:t>
      </w:r>
    </w:p>
    <w:p>
      <w:pPr>
        <w:pStyle w:val="ListBullet"/>
      </w:pPr>
      <w:r>
        <w:rPr>
          <w:sz w:val="22"/>
        </w:rPr>
        <w:t>bilingual capability improves seriousness</w:t>
      </w:r>
    </w:p>
    <w:p>
      <w:pPr>
        <w:pStyle w:val="ListBullet"/>
      </w:pPr>
      <w:r>
        <w:rPr>
          <w:sz w:val="22"/>
        </w:rPr>
        <w:t>after-sales responsiveness affects reputation and renewals</w:t>
      </w:r>
    </w:p>
    <w:p>
      <w:pPr>
        <w:pStyle w:val="Heading1"/>
      </w:pPr>
      <w:r>
        <w:t>Saudi specifics</w:t>
      </w:r>
    </w:p>
    <w:p>
      <w:pPr>
        <w:pStyle w:val="Heading2"/>
      </w:pPr>
      <w:r>
        <w:t>Commercial nuance</w:t>
      </w:r>
    </w:p>
    <w:p>
      <w:pPr>
        <w:pStyle w:val="ListBullet"/>
      </w:pPr>
      <w:r>
        <w:rPr>
          <w:sz w:val="22"/>
        </w:rPr>
        <w:t>more relationship-intensive than UAE</w:t>
      </w:r>
    </w:p>
    <w:p>
      <w:pPr>
        <w:pStyle w:val="ListBullet"/>
      </w:pPr>
      <w:r>
        <w:rPr>
          <w:sz w:val="22"/>
        </w:rPr>
        <w:t>buyers often expect visible commitment, not just remote capability</w:t>
      </w:r>
    </w:p>
    <w:p>
      <w:pPr>
        <w:pStyle w:val="ListBullet"/>
      </w:pPr>
      <w:r>
        <w:rPr>
          <w:sz w:val="22"/>
        </w:rPr>
        <w:t>enterprise and public-sector sales can be slow and formal</w:t>
      </w:r>
    </w:p>
    <w:p>
      <w:pPr>
        <w:pStyle w:val="ListBullet"/>
      </w:pPr>
      <w:r>
        <w:rPr>
          <w:sz w:val="22"/>
        </w:rPr>
        <w:t>local presence, local partner strength, and cultural fluency matter materially</w:t>
      </w:r>
    </w:p>
    <w:p>
      <w:pPr>
        <w:pStyle w:val="Heading2"/>
      </w:pPr>
      <w:r>
        <w:t>GTM implication</w:t>
      </w:r>
    </w:p>
    <w:p>
      <w:pPr>
        <w:spacing w:after="120"/>
      </w:pPr>
      <w:r>
        <w:t>Saudi is a strong fit for:</w:t>
      </w:r>
    </w:p>
    <w:p>
      <w:pPr>
        <w:pStyle w:val="ListBullet"/>
      </w:pPr>
      <w:r>
        <w:rPr>
          <w:sz w:val="22"/>
        </w:rPr>
        <w:t>forward-deployed implementation</w:t>
      </w:r>
    </w:p>
    <w:p>
      <w:pPr>
        <w:pStyle w:val="ListBullet"/>
      </w:pPr>
      <w:r>
        <w:rPr>
          <w:sz w:val="22"/>
        </w:rPr>
        <w:t>strategic retained services</w:t>
      </w:r>
    </w:p>
    <w:p>
      <w:pPr>
        <w:pStyle w:val="ListBullet"/>
      </w:pPr>
      <w:r>
        <w:rPr>
          <w:sz w:val="22"/>
        </w:rPr>
        <w:t>large workflow transformation projects</w:t>
      </w:r>
    </w:p>
    <w:p>
      <w:pPr>
        <w:pStyle w:val="ListBullet"/>
      </w:pPr>
      <w:r>
        <w:rPr>
          <w:sz w:val="22"/>
        </w:rPr>
        <w:t>public-sector or government-adjacent programs if you are procurement-ready</w:t>
      </w:r>
    </w:p>
    <w:p>
      <w:pPr>
        <w:spacing w:after="120"/>
      </w:pPr>
      <w:r>
        <w:t>Saudi is a weaker fit for:</w:t>
      </w:r>
    </w:p>
    <w:p>
      <w:pPr>
        <w:pStyle w:val="ListBullet"/>
      </w:pPr>
      <w:r>
        <w:rPr>
          <w:sz w:val="22"/>
        </w:rPr>
        <w:t>purely transactional marketplace-led selling</w:t>
      </w:r>
    </w:p>
    <w:p>
      <w:pPr>
        <w:pStyle w:val="ListBullet"/>
      </w:pPr>
      <w:r>
        <w:rPr>
          <w:sz w:val="22"/>
        </w:rPr>
        <w:t>remote-only no-touch software sales in the early phase</w:t>
      </w:r>
    </w:p>
    <w:p>
      <w:pPr>
        <w:pStyle w:val="Heading2"/>
      </w:pPr>
      <w:r>
        <w:t>Data and compliance nuance</w:t>
      </w:r>
    </w:p>
    <w:p>
      <w:pPr>
        <w:pStyle w:val="ListBullet"/>
      </w:pPr>
      <w:r>
        <w:rPr>
          <w:sz w:val="22"/>
        </w:rPr>
        <w:t>be ready for stronger questions around privacy, control, residency, and governance</w:t>
      </w:r>
    </w:p>
    <w:p>
      <w:pPr>
        <w:pStyle w:val="ListBullet"/>
      </w:pPr>
      <w:r>
        <w:rPr>
          <w:sz w:val="22"/>
        </w:rPr>
        <w:t>expect sensitive sectors to care deeply about hosting location and approval controls</w:t>
      </w:r>
    </w:p>
    <w:p>
      <w:pPr>
        <w:pStyle w:val="ListBullet"/>
      </w:pPr>
      <w:r>
        <w:rPr>
          <w:sz w:val="22"/>
        </w:rPr>
        <w:t>assume local legal review is required before regulated-sector expansion</w:t>
      </w:r>
    </w:p>
    <w:p>
      <w:pPr>
        <w:pStyle w:val="Heading2"/>
      </w:pPr>
      <w:r>
        <w:t>Commercial operations nuance</w:t>
      </w:r>
    </w:p>
    <w:p>
      <w:pPr>
        <w:pStyle w:val="ListBullet"/>
      </w:pPr>
      <w:r>
        <w:rPr>
          <w:sz w:val="22"/>
        </w:rPr>
        <w:t>VAT and invoicing compliance are more operationally important than many founders assume</w:t>
      </w:r>
    </w:p>
    <w:p>
      <w:pPr>
        <w:pStyle w:val="ListBullet"/>
      </w:pPr>
      <w:r>
        <w:rPr>
          <w:sz w:val="22"/>
        </w:rPr>
        <w:t>public procurement and large-enterprise onboarding need preparation, not improvisation</w:t>
      </w:r>
    </w:p>
    <w:p>
      <w:pPr>
        <w:pStyle w:val="Heading1"/>
      </w:pPr>
      <w:r>
        <w:t>UAE specifics</w:t>
      </w:r>
    </w:p>
    <w:p>
      <w:pPr>
        <w:pStyle w:val="Heading2"/>
      </w:pPr>
      <w:r>
        <w:t>Commercial nuance</w:t>
      </w:r>
    </w:p>
    <w:p>
      <w:pPr>
        <w:pStyle w:val="ListBullet"/>
      </w:pPr>
      <w:r>
        <w:rPr>
          <w:sz w:val="22"/>
        </w:rPr>
        <w:t>more internationally legible than Saudi</w:t>
      </w:r>
    </w:p>
    <w:p>
      <w:pPr>
        <w:pStyle w:val="ListBullet"/>
      </w:pPr>
      <w:r>
        <w:rPr>
          <w:sz w:val="22"/>
        </w:rPr>
        <w:t>faster for meetings, pilots, and founder-led selling</w:t>
      </w:r>
    </w:p>
    <w:p>
      <w:pPr>
        <w:pStyle w:val="ListBullet"/>
      </w:pPr>
      <w:r>
        <w:rPr>
          <w:sz w:val="22"/>
        </w:rPr>
        <w:t>still relationship-led, but easier to navigate for an externally facing startup or consultancy</w:t>
      </w:r>
    </w:p>
    <w:p>
      <w:pPr>
        <w:pStyle w:val="ListBullet"/>
      </w:pPr>
      <w:r>
        <w:rPr>
          <w:sz w:val="22"/>
        </w:rPr>
        <w:t>strong regional hub for partnerships, events, and multinational buyers</w:t>
      </w:r>
    </w:p>
    <w:p>
      <w:pPr>
        <w:pStyle w:val="Heading2"/>
      </w:pPr>
      <w:r>
        <w:t>GTM implication</w:t>
      </w:r>
    </w:p>
    <w:p>
      <w:pPr>
        <w:spacing w:after="120"/>
      </w:pPr>
      <w:r>
        <w:t>UAE is the best first market for:</w:t>
      </w:r>
    </w:p>
    <w:p>
      <w:pPr>
        <w:pStyle w:val="ListBullet"/>
      </w:pPr>
      <w:r>
        <w:rPr>
          <w:sz w:val="22"/>
        </w:rPr>
        <w:t>landing initial Gulf references</w:t>
      </w:r>
    </w:p>
    <w:p>
      <w:pPr>
        <w:pStyle w:val="ListBullet"/>
      </w:pPr>
      <w:r>
        <w:rPr>
          <w:sz w:val="22"/>
        </w:rPr>
        <w:t>testing English-led sales motions</w:t>
      </w:r>
    </w:p>
    <w:p>
      <w:pPr>
        <w:pStyle w:val="ListBullet"/>
      </w:pPr>
      <w:r>
        <w:rPr>
          <w:sz w:val="22"/>
        </w:rPr>
        <w:t>piloting offers with internationally oriented firms</w:t>
      </w:r>
    </w:p>
    <w:p>
      <w:pPr>
        <w:pStyle w:val="ListBullet"/>
      </w:pPr>
      <w:r>
        <w:rPr>
          <w:sz w:val="22"/>
        </w:rPr>
        <w:t>building partner and investor density</w:t>
      </w:r>
    </w:p>
    <w:p>
      <w:pPr>
        <w:pStyle w:val="Heading2"/>
      </w:pPr>
      <w:r>
        <w:t>Legal and commercial nuance</w:t>
      </w:r>
    </w:p>
    <w:p>
      <w:pPr>
        <w:pStyle w:val="ListBullet"/>
      </w:pPr>
      <w:r>
        <w:rPr>
          <w:sz w:val="22"/>
        </w:rPr>
        <w:t>local entity structure matters depending on target customer type</w:t>
      </w:r>
    </w:p>
    <w:p>
      <w:pPr>
        <w:pStyle w:val="ListBullet"/>
      </w:pPr>
      <w:r>
        <w:rPr>
          <w:sz w:val="22"/>
        </w:rPr>
        <w:t>public-sector and major enterprise work usually require stronger local procurement readiness</w:t>
      </w:r>
    </w:p>
    <w:p>
      <w:pPr>
        <w:pStyle w:val="ListBullet"/>
      </w:pPr>
      <w:r>
        <w:rPr>
          <w:sz w:val="22"/>
        </w:rPr>
        <w:t>contracts, privacy, and tax treatment should be checked based on mainland/free-zone/regulatory context</w:t>
      </w:r>
    </w:p>
    <w:p>
      <w:pPr>
        <w:pStyle w:val="Heading1"/>
      </w:pPr>
      <w:r>
        <w:t>Localization recommendations</w:t>
      </w:r>
    </w:p>
    <w:p>
      <w:pPr>
        <w:spacing w:after="120"/>
      </w:pPr>
      <w:r>
        <w:t>Minimum standard for both markets:</w:t>
      </w:r>
    </w:p>
    <w:p>
      <w:pPr>
        <w:pStyle w:val="ListBullet"/>
      </w:pPr>
      <w:r>
        <w:rPr>
          <w:sz w:val="22"/>
        </w:rPr>
        <w:t>English sales deck</w:t>
      </w:r>
    </w:p>
    <w:p>
      <w:pPr>
        <w:pStyle w:val="ListBullet"/>
      </w:pPr>
      <w:r>
        <w:rPr>
          <w:sz w:val="22"/>
        </w:rPr>
        <w:t>Arabic one-pager or executive summary</w:t>
      </w:r>
    </w:p>
    <w:p>
      <w:pPr>
        <w:pStyle w:val="ListBullet"/>
      </w:pPr>
      <w:r>
        <w:rPr>
          <w:sz w:val="22"/>
        </w:rPr>
        <w:t>Arabic-capable proposals or translated versions when needed</w:t>
      </w:r>
    </w:p>
    <w:p>
      <w:pPr>
        <w:pStyle w:val="ListBullet"/>
      </w:pPr>
      <w:r>
        <w:rPr>
          <w:sz w:val="22"/>
        </w:rPr>
        <w:t>clear local support and escalation model</w:t>
      </w:r>
    </w:p>
    <w:p>
      <w:pPr>
        <w:spacing w:after="120"/>
      </w:pPr>
      <w:r>
        <w:t>If product surfaces become customer-facing, Arabic capability becomes more important.</w:t>
      </w:r>
    </w:p>
    <w:p>
      <w:pPr>
        <w:spacing w:after="120"/>
      </w:pPr>
      <w:r>
        <w:t>If the product stays internal/operator-facing, English may be enough at first, but Arabic still helps in procurement and executive trust-building.</w:t>
      </w:r>
    </w:p>
    <w:p>
      <w:pPr>
        <w:pStyle w:val="Heading1"/>
      </w:pPr>
      <w:r>
        <w:t>Recommended Gulf strategy</w:t>
      </w:r>
    </w:p>
    <w:p>
      <w:pPr>
        <w:pStyle w:val="Heading2"/>
      </w:pPr>
      <w:r>
        <w:t>Recommended sequence</w:t>
      </w:r>
    </w:p>
    <w:p>
      <w:pPr>
        <w:pStyle w:val="ListNumber"/>
      </w:pPr>
      <w:r>
        <w:rPr>
          <w:sz w:val="22"/>
        </w:rPr>
        <w:t>Land UAE first as the regional commercial base</w:t>
      </w:r>
    </w:p>
    <w:p>
      <w:pPr>
        <w:pStyle w:val="ListNumber"/>
      </w:pPr>
      <w:r>
        <w:rPr>
          <w:sz w:val="22"/>
        </w:rPr>
        <w:t>Build references, pilots, and partner network</w:t>
      </w:r>
    </w:p>
    <w:p>
      <w:pPr>
        <w:pStyle w:val="ListNumber"/>
      </w:pPr>
      <w:r>
        <w:rPr>
          <w:sz w:val="22"/>
        </w:rPr>
        <w:t>Enter Saudi with stronger local proof, not just ambition</w:t>
      </w:r>
    </w:p>
    <w:p>
      <w:pPr>
        <w:pStyle w:val="ListNumber"/>
      </w:pPr>
      <w:r>
        <w:rPr>
          <w:sz w:val="22"/>
        </w:rPr>
        <w:t>Use forward deployment for larger Saudi opportunities</w:t>
      </w:r>
    </w:p>
    <w:p>
      <w:pPr>
        <w:pStyle w:val="Heading2"/>
      </w:pPr>
      <w:r>
        <w:t>Recommended sectors</w:t>
      </w:r>
    </w:p>
    <w:p>
      <w:pPr>
        <w:spacing w:after="120"/>
      </w:pPr>
      <w:r>
        <w:t>Best likely sectors for this model:</w:t>
      </w:r>
    </w:p>
    <w:p>
      <w:pPr>
        <w:pStyle w:val="ListBullet"/>
      </w:pPr>
      <w:r>
        <w:rPr>
          <w:sz w:val="22"/>
        </w:rPr>
        <w:t>logistics</w:t>
      </w:r>
    </w:p>
    <w:p>
      <w:pPr>
        <w:pStyle w:val="ListBullet"/>
      </w:pPr>
      <w:r>
        <w:rPr>
          <w:sz w:val="22"/>
        </w:rPr>
        <w:t>real estate and construction operations</w:t>
      </w:r>
    </w:p>
    <w:p>
      <w:pPr>
        <w:pStyle w:val="ListBullet"/>
      </w:pPr>
      <w:r>
        <w:rPr>
          <w:sz w:val="22"/>
        </w:rPr>
        <w:t>healthcare operations</w:t>
      </w:r>
    </w:p>
    <w:p>
      <w:pPr>
        <w:pStyle w:val="ListBullet"/>
      </w:pPr>
      <w:r>
        <w:rPr>
          <w:sz w:val="22"/>
        </w:rPr>
        <w:t>government-adjacent workflow modernization</w:t>
      </w:r>
    </w:p>
    <w:p>
      <w:pPr>
        <w:pStyle w:val="ListBullet"/>
      </w:pPr>
      <w:r>
        <w:rPr>
          <w:sz w:val="22"/>
        </w:rPr>
        <w:t>enterprise support and shared services</w:t>
      </w:r>
    </w:p>
    <w:p>
      <w:pPr>
        <w:pStyle w:val="ListBullet"/>
      </w:pPr>
      <w:r>
        <w:rPr>
          <w:sz w:val="22"/>
        </w:rPr>
        <w:t>large family businesses with operational complexity</w:t>
      </w:r>
    </w:p>
    <w:p>
      <w:pPr>
        <w:pStyle w:val="Heading1"/>
      </w:pPr>
      <w:r>
        <w:t>Final strategic recommendation</w:t>
      </w:r>
    </w:p>
    <w:p>
      <w:pPr>
        <w:spacing w:after="120"/>
      </w:pPr>
      <w:r>
        <w:t>The strongest model is:</w:t>
      </w:r>
    </w:p>
    <w:p>
      <w:pPr>
        <w:pStyle w:val="ListBullet"/>
      </w:pPr>
      <w:r>
        <w:rPr>
          <w:sz w:val="22"/>
        </w:rPr>
        <w:t>productized diagnostic and pilot offers to generate revenue and proof</w:t>
      </w:r>
    </w:p>
    <w:p>
      <w:pPr>
        <w:pStyle w:val="ListBullet"/>
      </w:pPr>
      <w:r>
        <w:rPr>
          <w:sz w:val="22"/>
        </w:rPr>
        <w:t>forward-deployed implementation for high-value accounts</w:t>
      </w:r>
    </w:p>
    <w:p>
      <w:pPr>
        <w:pStyle w:val="ListBullet"/>
      </w:pPr>
      <w:r>
        <w:rPr>
          <w:sz w:val="22"/>
        </w:rPr>
        <w:t>progressive productization of memory, workflow, and control-plane layers</w:t>
      </w:r>
    </w:p>
    <w:p>
      <w:pPr>
        <w:pStyle w:val="ListBullet"/>
      </w:pPr>
      <w:r>
        <w:rPr>
          <w:sz w:val="22"/>
        </w:rPr>
        <w:t>marketplace use as a side-channel, not the main strategy</w:t>
      </w:r>
    </w:p>
    <w:p>
      <w:pPr>
        <w:pStyle w:val="ListBullet"/>
      </w:pPr>
      <w:r>
        <w:rPr>
          <w:sz w:val="22"/>
        </w:rPr>
        <w:t>UAE as the initial Gulf hub, Saudi as the deeper strategic expansion market</w:t>
      </w:r>
    </w:p>
    <w:p>
      <w:pPr>
        <w:spacing w:after="120"/>
      </w:pPr>
      <w:r>
        <w:t>In short:</w:t>
      </w:r>
    </w:p>
    <w:p>
      <w:pPr>
        <w:pStyle w:val="ListBullet"/>
      </w:pPr>
      <w:r>
        <w:rPr>
          <w:sz w:val="22"/>
        </w:rPr>
        <w:t>use consultancy to discover and win</w:t>
      </w:r>
    </w:p>
    <w:p>
      <w:pPr>
        <w:pStyle w:val="ListBullet"/>
      </w:pPr>
      <w:r>
        <w:rPr>
          <w:sz w:val="22"/>
        </w:rPr>
        <w:t>use forward deployment to make adoption succeed</w:t>
      </w:r>
    </w:p>
    <w:p>
      <w:pPr>
        <w:pStyle w:val="ListBullet"/>
      </w:pPr>
      <w:r>
        <w:rPr>
          <w:sz w:val="22"/>
        </w:rPr>
        <w:t>use productization to scale margin and repeatability</w:t>
      </w:r>
    </w:p>
    <w:p>
      <w:pPr>
        <w:pStyle w:val="ListBullet"/>
      </w:pPr>
      <w:r>
        <w:rPr>
          <w:sz w:val="22"/>
        </w:rPr>
        <w:t>use marketplaces tactically, not ideologically</w:t>
      </w:r>
    </w:p>
    <w:p>
      <w:pPr>
        <w:pStyle w:val="Heading1"/>
      </w:pPr>
      <w:r>
        <w:t>Suggested next moves</w:t>
      </w:r>
    </w:p>
    <w:p>
      <w:pPr>
        <w:pStyle w:val="Heading2"/>
      </w:pPr>
      <w:r>
        <w:t>Immediate</w:t>
      </w:r>
    </w:p>
    <w:p>
      <w:pPr>
        <w:pStyle w:val="ListBullet"/>
      </w:pPr>
      <w:r>
        <w:rPr>
          <w:sz w:val="22"/>
        </w:rPr>
        <w:t>define the flagship diagnostic offer</w:t>
      </w:r>
    </w:p>
    <w:p>
      <w:pPr>
        <w:pStyle w:val="ListBullet"/>
      </w:pPr>
      <w:r>
        <w:rPr>
          <w:sz w:val="22"/>
        </w:rPr>
        <w:t>define the first pilot offer</w:t>
      </w:r>
    </w:p>
    <w:p>
      <w:pPr>
        <w:pStyle w:val="ListBullet"/>
      </w:pPr>
      <w:r>
        <w:rPr>
          <w:sz w:val="22"/>
        </w:rPr>
        <w:t>pick the first product wedge</w:t>
      </w:r>
    </w:p>
    <w:p>
      <w:pPr>
        <w:pStyle w:val="ListBullet"/>
      </w:pPr>
      <w:r>
        <w:rPr>
          <w:sz w:val="22"/>
        </w:rPr>
        <w:t>decide whether UAE-first is the commercial entry plan</w:t>
      </w:r>
    </w:p>
    <w:p>
      <w:pPr>
        <w:pStyle w:val="Heading2"/>
      </w:pPr>
      <w:r>
        <w:t>Next 30 to 60 days</w:t>
      </w:r>
    </w:p>
    <w:p>
      <w:pPr>
        <w:pStyle w:val="ListBullet"/>
      </w:pPr>
      <w:r>
        <w:rPr>
          <w:sz w:val="22"/>
        </w:rPr>
        <w:t>create sector-specific sales collateral</w:t>
      </w:r>
    </w:p>
    <w:p>
      <w:pPr>
        <w:pStyle w:val="ListBullet"/>
      </w:pPr>
      <w:r>
        <w:rPr>
          <w:sz w:val="22"/>
        </w:rPr>
        <w:t>create bilingual core materials</w:t>
      </w:r>
    </w:p>
    <w:p>
      <w:pPr>
        <w:pStyle w:val="ListBullet"/>
      </w:pPr>
      <w:r>
        <w:rPr>
          <w:sz w:val="22"/>
        </w:rPr>
        <w:t>create compliance and security pack</w:t>
      </w:r>
    </w:p>
    <w:p>
      <w:pPr>
        <w:pStyle w:val="ListBullet"/>
      </w:pPr>
      <w:r>
        <w:rPr>
          <w:sz w:val="22"/>
        </w:rPr>
        <w:t>identify local partner candidates in UAE and Saudi</w:t>
      </w:r>
    </w:p>
    <w:p>
      <w:pPr>
        <w:pStyle w:val="ListBullet"/>
      </w:pPr>
      <w:r>
        <w:rPr>
          <w:sz w:val="22"/>
        </w:rPr>
        <w:t>test one marketplace offer and one direct outbound motion in parallel</w:t>
      </w:r>
    </w:p>
    <w:p>
      <w:pPr>
        <w:pStyle w:val="Heading2"/>
      </w:pPr>
      <w:r>
        <w:t>Next 90 days</w:t>
      </w:r>
    </w:p>
    <w:p>
      <w:pPr>
        <w:pStyle w:val="ListBullet"/>
      </w:pPr>
      <w:r>
        <w:rPr>
          <w:sz w:val="22"/>
        </w:rPr>
        <w:t>convert the strongest repeated delivery pattern into a product module</w:t>
      </w:r>
    </w:p>
    <w:p>
      <w:pPr>
        <w:pStyle w:val="ListBullet"/>
      </w:pPr>
      <w:r>
        <w:rPr>
          <w:sz w:val="22"/>
        </w:rPr>
        <w:t>publish one strong case study</w:t>
      </w:r>
    </w:p>
    <w:p>
      <w:pPr>
        <w:pStyle w:val="ListBullet"/>
      </w:pPr>
      <w:r>
        <w:rPr>
          <w:sz w:val="22"/>
        </w:rPr>
        <w:t>build a standard forward-deployed implementation playbook</w:t>
      </w:r>
    </w:p>
    <w:p>
      <w:pPr>
        <w:pStyle w:val="ListBullet"/>
      </w:pPr>
      <w:r>
        <w:rPr>
          <w:sz w:val="22"/>
        </w:rPr>
        <w:t>prepare the operational/legal groundwork for deeper regional expansion</w:t>
      </w:r>
    </w:p>
    <w:p>
      <w:pPr>
        <w:pStyle w:val="Heading1"/>
      </w:pPr>
      <w:r>
        <w:t>Appendix — reviewed material</w:t>
      </w:r>
    </w:p>
    <w:p>
      <w:pPr>
        <w:spacing w:after="120"/>
      </w:pPr>
      <w:r>
        <w:t>This wrap-up synthesizes the following underlying documents:</w:t>
      </w:r>
    </w:p>
    <w:p>
      <w:pPr>
        <w:pStyle w:val="ListBullet"/>
      </w:pPr>
      <w:r>
        <w:rPr>
          <w:sz w:val="22"/>
        </w:rPr>
        <w:t>consultancy-to-product-growth-strategy.md</w:t>
      </w:r>
    </w:p>
    <w:p>
      <w:pPr>
        <w:pStyle w:val="ListBullet"/>
      </w:pPr>
      <w:r>
        <w:rPr>
          <w:sz w:val="22"/>
        </w:rPr>
        <w:t>agent-runtime-control-plane-prd.md</w:t>
      </w:r>
    </w:p>
    <w:p>
      <w:pPr>
        <w:pStyle w:val="ListBullet"/>
      </w:pPr>
      <w:r>
        <w:rPr>
          <w:sz w:val="22"/>
        </w:rPr>
        <w:t>institutional-memory-engine-prd.md</w:t>
      </w:r>
    </w:p>
    <w:p>
      <w:pPr>
        <w:pStyle w:val="ListBullet"/>
      </w:pPr>
      <w:r>
        <w:rPr>
          <w:sz w:val="22"/>
        </w:rPr>
        <w:t>long-horizon-workflow-agent-prd.md</w:t>
      </w:r>
    </w:p>
    <w:p>
      <w:pPr>
        <w:pStyle w:val="ListBullet"/>
      </w:pPr>
      <w:r>
        <w:rPr>
          <w:sz w:val="22"/>
        </w:rPr>
        <w:t>top-3-agent-consultancy-prds.md</w:t>
      </w:r>
    </w:p>
    <w:p>
      <w:pPr>
        <w:spacing w:after="120"/>
      </w:pPr>
      <w:r>
        <w:t>It also incorporates practical marketplace and Gulf-market assessments prepared during this synthesis.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