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Georgia" w:hAnsi="Georgia"/>
          <w:b/>
          <w:i w:val="0"/>
          <w:color w:val="1A1A2E"/>
          <w:sz w:val="56"/>
        </w:rPr>
        <w:t>HERMES</w:t>
      </w:r>
    </w:p>
    <w:p>
      <w:pPr>
        <w:spacing w:before="0" w:after="120"/>
        <w:jc w:val="left"/>
      </w:pPr>
      <w:r>
        <w:rPr>
          <w:rFonts w:ascii="Georgia" w:hAnsi="Georgia"/>
          <w:b w:val="0"/>
          <w:i/>
          <w:color w:val="4A4A6A"/>
          <w:sz w:val="22"/>
        </w:rPr>
        <w:t>Agent Operating System  ·  Enterprise</w:t>
      </w:r>
    </w:p>
    <w:p>
      <w:pPr>
        <w:pBdr>
          <w:bottom w:val="single" w:sz="4" w:space="1" w:color="D0D0D8"/>
        </w:pBdr>
        <w:spacing w:before="40" w:after="40"/>
      </w:pPr>
    </w:p>
    <w:p>
      <w:pPr>
        <w:spacing w:before="40" w:after="400"/>
      </w:pPr>
      <w:r>
        <w:rPr>
          <w:rFonts w:ascii="Georgia" w:hAnsi="Georgia"/>
          <w:b w:val="0"/>
          <w:i/>
          <w:color w:val="4A4A6A"/>
          <w:sz w:val="17"/>
        </w:rPr>
        <w:t>Executive Summary  ·  March 2026  ·  Confidential</w:t>
      </w:r>
    </w:p>
    <w:p>
      <w:pPr>
        <w:spacing w:before="360" w:after="120"/>
      </w:pPr>
      <w:r>
        <w:rPr>
          <w:rFonts w:ascii="Georgia" w:hAnsi="Georgia"/>
          <w:b/>
          <w:i w:val="0"/>
          <w:color w:val="D0D0D8"/>
          <w:sz w:val="26"/>
        </w:rPr>
        <w:t xml:space="preserve">01  </w:t>
      </w:r>
      <w:r>
        <w:rPr>
          <w:rFonts w:ascii="Georgia" w:hAnsi="Georgia"/>
          <w:b/>
          <w:i w:val="0"/>
          <w:color w:val="1A1A2E"/>
          <w:sz w:val="26"/>
        </w:rPr>
        <w:t>WHAT WE ARE</w:t>
      </w:r>
    </w:p>
    <w:p>
      <w:pPr>
        <w:pBdr>
          <w:bottom w:val="single" w:sz="4" w:space="1" w:color="D0D0D8"/>
        </w:pBdr>
        <w:spacing w:before="40" w:after="40"/>
      </w:pPr>
    </w:p>
    <w:p>
      <w:pPr>
        <w:spacing w:before="40" w:after="80" w:line="280" w:lineRule="exact"/>
      </w:pPr>
      <w:r>
        <w:rPr>
          <w:rFonts w:ascii="Georgia" w:hAnsi="Georgia"/>
          <w:b w:val="0"/>
          <w:i w:val="0"/>
          <w:color w:val="2C2C2C"/>
          <w:sz w:val="20"/>
        </w:rPr>
        <w:t>Hermes is an enterprise software company. We build and deploy the Agent Operating System (AgentOS) — the configuration and infrastructure layer that makes human + agent collaboration reliable, governed, and cumulative inside large organizations.</w:t>
      </w:r>
    </w:p>
    <w:p>
      <w:pPr>
        <w:spacing w:before="40" w:after="80" w:line="280" w:lineRule="exact"/>
      </w:pPr>
      <w:r>
        <w:rPr>
          <w:rFonts w:ascii="Georgia" w:hAnsi="Georgia"/>
          <w:b w:val="0"/>
          <w:i w:val="0"/>
          <w:color w:val="2C2C2C"/>
          <w:sz w:val="20"/>
        </w:rPr>
        <w:t>We are not a consultancy. We are not an AI vendor selling capability. We sell operational outcomes: workflows that do not drift, institutional knowledge that does not disappear, and agent operations that senior buyers can trust, audit, and extend.</w:t>
      </w:r>
    </w:p>
    <w:p/>
    <w:tbl>
      <w:tblPr>
        <w:tblStyle w:val="TableGrid"/>
        <w:tblW w:type="auto" w:w="0"/>
        <w:tblLook w:firstColumn="1" w:firstRow="1" w:lastColumn="0" w:lastRow="0" w:noHBand="0" w:noVBand="1" w:val="04A0"/>
      </w:tblPr>
      <w:tblGrid>
        <w:gridCol w:w="9066"/>
      </w:tblGrid>
      <w:tr>
        <w:tc>
          <w:tcPr>
            <w:tcW w:type="dxa" w:w="9066"/>
            <w:shd w:val="clear" w:color="auto" w:fill="ECECF4"/>
          </w:tcPr>
          <w:p>
            <w:pPr>
              <w:spacing w:before="120" w:after="120"/>
              <w:ind w:left="160"/>
            </w:pPr>
            <w:r>
              <w:rPr>
                <w:rFonts w:ascii="Georgia" w:hAnsi="Georgia"/>
                <w:b w:val="0"/>
                <w:i/>
                <w:color w:val="1A1A2E"/>
                <w:sz w:val="20"/>
              </w:rPr>
              <w:t>Our go-to-market uses forward deployment teams — embedded operators who configure the system inside the client's environment, map real workflows, and make adoption irreversible. This is a feature, not a transitional phase. The team is the product until the product is self-sufficient.</w:t>
            </w:r>
          </w:p>
        </w:tc>
      </w:tr>
    </w:tbl>
    <w:p/>
    <w:p>
      <w:pPr>
        <w:spacing w:before="360" w:after="120"/>
      </w:pPr>
      <w:r>
        <w:rPr>
          <w:rFonts w:ascii="Georgia" w:hAnsi="Georgia"/>
          <w:b/>
          <w:i w:val="0"/>
          <w:color w:val="D0D0D8"/>
          <w:sz w:val="26"/>
        </w:rPr>
        <w:t xml:space="preserve">02  </w:t>
      </w:r>
      <w:r>
        <w:rPr>
          <w:rFonts w:ascii="Georgia" w:hAnsi="Georgia"/>
          <w:b/>
          <w:i w:val="0"/>
          <w:color w:val="1A1A2E"/>
          <w:sz w:val="26"/>
        </w:rPr>
        <w:t>THE PROBLEM WE SOLVE</w:t>
      </w:r>
    </w:p>
    <w:p>
      <w:pPr>
        <w:pBdr>
          <w:bottom w:val="single" w:sz="4" w:space="1" w:color="D0D0D8"/>
        </w:pBdr>
        <w:spacing w:before="40" w:after="40"/>
      </w:pPr>
    </w:p>
    <w:p>
      <w:pPr>
        <w:spacing w:before="40" w:after="80" w:line="280" w:lineRule="exact"/>
      </w:pPr>
      <w:r>
        <w:rPr>
          <w:rFonts w:ascii="Georgia" w:hAnsi="Georgia"/>
          <w:b w:val="0"/>
          <w:i w:val="0"/>
          <w:color w:val="2C2C2C"/>
          <w:sz w:val="20"/>
        </w:rPr>
        <w:t>Enterprise teams that try to adopt AI fail in a consistent pattern. They buy capability — a model, a chatbot, an automation tool — and then discover the capability has no memory of how the organization works, no governance over what agents can do, and no mechanism for keeping multi-week work on track.</w:t>
      </w:r>
    </w:p>
    <w:p>
      <w:pPr>
        <w:spacing w:before="40" w:after="80" w:line="280" w:lineRule="exact"/>
      </w:pPr>
      <w:r>
        <w:rPr>
          <w:rFonts w:ascii="Georgia" w:hAnsi="Georgia"/>
          <w:b w:val="0"/>
          <w:i w:val="0"/>
          <w:color w:val="2C2C2C"/>
          <w:sz w:val="20"/>
        </w:rPr>
        <w:t>The failure is not the AI. The failure is the absence of an operating system underneath it.</w:t>
      </w:r>
    </w:p>
    <w:p>
      <w:pPr>
        <w:spacing w:before="40" w:after="80" w:line="280" w:lineRule="exact"/>
      </w:pPr>
      <w:r>
        <w:rPr>
          <w:rFonts w:ascii="Georgia" w:hAnsi="Georgia"/>
          <w:b w:val="0"/>
          <w:i w:val="0"/>
          <w:color w:val="2C2C2C"/>
          <w:sz w:val="20"/>
        </w:rPr>
        <w:t>Every organization that wants agents to work reliably needs three things:</w:t>
      </w:r>
    </w:p>
    <w:tbl>
      <w:tblPr>
        <w:tblStyle w:val="TableGrid"/>
        <w:tblW w:type="auto" w:w="0"/>
        <w:tblLook w:firstColumn="1" w:firstRow="1" w:lastColumn="0" w:lastRow="0" w:noHBand="0" w:noVBand="1" w:val="04A0"/>
      </w:tblPr>
      <w:tblGrid>
        <w:gridCol w:w="3022"/>
        <w:gridCol w:w="3022"/>
        <w:gridCol w:w="3022"/>
      </w:tblGrid>
      <w:tr>
        <w:tc>
          <w:tcPr>
            <w:tcW w:type="dxa" w:w="1872"/>
            <w:shd w:val="clear" w:color="auto" w:fill="1A1A2E"/>
          </w:tcPr>
          <w:p>
            <w:pPr>
              <w:spacing w:before="80" w:after="80"/>
              <w:jc w:val="left"/>
            </w:pPr>
            <w:r>
              <w:rPr>
                <w:rFonts w:ascii="Georgia" w:hAnsi="Georgia"/>
                <w:b/>
                <w:i w:val="0"/>
                <w:color w:val="FFFFFF"/>
                <w:sz w:val="18"/>
              </w:rPr>
              <w:t>Layer</w:t>
            </w:r>
          </w:p>
        </w:tc>
        <w:tc>
          <w:tcPr>
            <w:tcW w:type="dxa" w:w="4032"/>
            <w:shd w:val="clear" w:color="auto" w:fill="1A1A2E"/>
          </w:tcPr>
          <w:p>
            <w:pPr>
              <w:spacing w:before="80" w:after="80"/>
              <w:jc w:val="left"/>
            </w:pPr>
            <w:r>
              <w:rPr>
                <w:rFonts w:ascii="Georgia" w:hAnsi="Georgia"/>
                <w:b/>
                <w:i w:val="0"/>
                <w:color w:val="FFFFFF"/>
                <w:sz w:val="18"/>
              </w:rPr>
              <w:t>Question it answers</w:t>
            </w:r>
          </w:p>
        </w:tc>
        <w:tc>
          <w:tcPr>
            <w:tcW w:type="dxa" w:w="3600"/>
            <w:shd w:val="clear" w:color="auto" w:fill="1A1A2E"/>
          </w:tcPr>
          <w:p>
            <w:pPr>
              <w:spacing w:before="80" w:after="80"/>
              <w:jc w:val="left"/>
            </w:pPr>
            <w:r>
              <w:rPr>
                <w:rFonts w:ascii="Georgia" w:hAnsi="Georgia"/>
                <w:b/>
                <w:i w:val="0"/>
                <w:color w:val="FFFFFF"/>
                <w:sz w:val="18"/>
              </w:rPr>
              <w:t>Our product</w:t>
            </w:r>
          </w:p>
        </w:tc>
      </w:tr>
      <w:tr>
        <w:tc>
          <w:tcPr>
            <w:tcW w:type="dxa" w:w="1872"/>
            <w:shd w:val="clear" w:color="auto" w:fill="F7F7FA"/>
          </w:tcPr>
          <w:p>
            <w:pPr>
              <w:spacing w:before="60" w:after="60"/>
            </w:pPr>
            <w:r>
              <w:rPr>
                <w:rFonts w:ascii="Georgia" w:hAnsi="Georgia"/>
                <w:b w:val="0"/>
                <w:i w:val="0"/>
                <w:color w:val="2C2C2C"/>
                <w:sz w:val="18"/>
              </w:rPr>
              <w:t>Memory</w:t>
            </w:r>
          </w:p>
        </w:tc>
        <w:tc>
          <w:tcPr>
            <w:tcW w:type="dxa" w:w="4032"/>
            <w:shd w:val="clear" w:color="auto" w:fill="F7F7FA"/>
          </w:tcPr>
          <w:p>
            <w:pPr>
              <w:spacing w:before="60" w:after="60"/>
            </w:pPr>
            <w:r>
              <w:rPr>
                <w:rFonts w:ascii="Georgia" w:hAnsi="Georgia"/>
                <w:b w:val="0"/>
                <w:i w:val="0"/>
                <w:color w:val="2C2C2C"/>
                <w:sz w:val="18"/>
              </w:rPr>
              <w:t>What does the organization know?</w:t>
            </w:r>
          </w:p>
        </w:tc>
        <w:tc>
          <w:tcPr>
            <w:tcW w:type="dxa" w:w="3600"/>
            <w:shd w:val="clear" w:color="auto" w:fill="F7F7FA"/>
          </w:tcPr>
          <w:p>
            <w:pPr>
              <w:spacing w:before="60" w:after="60"/>
            </w:pPr>
            <w:r>
              <w:rPr>
                <w:rFonts w:ascii="Georgia" w:hAnsi="Georgia"/>
                <w:b w:val="0"/>
                <w:i w:val="0"/>
                <w:color w:val="2C2C2C"/>
                <w:sz w:val="18"/>
              </w:rPr>
              <w:t>Institutional Memory Engine</w:t>
            </w:r>
          </w:p>
        </w:tc>
      </w:tr>
      <w:tr>
        <w:tc>
          <w:tcPr>
            <w:tcW w:type="dxa" w:w="1872"/>
            <w:shd w:val="clear" w:color="auto" w:fill="FFFFFF"/>
          </w:tcPr>
          <w:p>
            <w:pPr>
              <w:spacing w:before="60" w:after="60"/>
            </w:pPr>
            <w:r>
              <w:rPr>
                <w:rFonts w:ascii="Georgia" w:hAnsi="Georgia"/>
                <w:b w:val="0"/>
                <w:i w:val="0"/>
                <w:color w:val="2C2C2C"/>
                <w:sz w:val="18"/>
              </w:rPr>
              <w:t>Workflow</w:t>
            </w:r>
          </w:p>
        </w:tc>
        <w:tc>
          <w:tcPr>
            <w:tcW w:type="dxa" w:w="4032"/>
            <w:shd w:val="clear" w:color="auto" w:fill="FFFFFF"/>
          </w:tcPr>
          <w:p>
            <w:pPr>
              <w:spacing w:before="60" w:after="60"/>
            </w:pPr>
            <w:r>
              <w:rPr>
                <w:rFonts w:ascii="Georgia" w:hAnsi="Georgia"/>
                <w:b w:val="0"/>
                <w:i w:val="0"/>
                <w:color w:val="2C2C2C"/>
                <w:sz w:val="18"/>
              </w:rPr>
              <w:t>How does the organization actually work?</w:t>
            </w:r>
          </w:p>
        </w:tc>
        <w:tc>
          <w:tcPr>
            <w:tcW w:type="dxa" w:w="3600"/>
            <w:shd w:val="clear" w:color="auto" w:fill="FFFFFF"/>
          </w:tcPr>
          <w:p>
            <w:pPr>
              <w:spacing w:before="60" w:after="60"/>
            </w:pPr>
            <w:r>
              <w:rPr>
                <w:rFonts w:ascii="Georgia" w:hAnsi="Georgia"/>
                <w:b w:val="0"/>
                <w:i w:val="0"/>
                <w:color w:val="2C2C2C"/>
                <w:sz w:val="18"/>
              </w:rPr>
              <w:t>Long-Horizon Workflow Agent</w:t>
            </w:r>
          </w:p>
        </w:tc>
      </w:tr>
      <w:tr>
        <w:tc>
          <w:tcPr>
            <w:tcW w:type="dxa" w:w="1872"/>
            <w:shd w:val="clear" w:color="auto" w:fill="F7F7FA"/>
          </w:tcPr>
          <w:p>
            <w:pPr>
              <w:spacing w:before="60" w:after="60"/>
            </w:pPr>
            <w:r>
              <w:rPr>
                <w:rFonts w:ascii="Georgia" w:hAnsi="Georgia"/>
                <w:b w:val="0"/>
                <w:i w:val="0"/>
                <w:color w:val="2C2C2C"/>
                <w:sz w:val="18"/>
              </w:rPr>
              <w:t>Control</w:t>
            </w:r>
          </w:p>
        </w:tc>
        <w:tc>
          <w:tcPr>
            <w:tcW w:type="dxa" w:w="4032"/>
            <w:shd w:val="clear" w:color="auto" w:fill="F7F7FA"/>
          </w:tcPr>
          <w:p>
            <w:pPr>
              <w:spacing w:before="60" w:after="60"/>
            </w:pPr>
            <w:r>
              <w:rPr>
                <w:rFonts w:ascii="Georgia" w:hAnsi="Georgia"/>
                <w:b w:val="0"/>
                <w:i w:val="0"/>
                <w:color w:val="2C2C2C"/>
                <w:sz w:val="18"/>
              </w:rPr>
              <w:t>Who decides what, and with what authority?</w:t>
            </w:r>
          </w:p>
        </w:tc>
        <w:tc>
          <w:tcPr>
            <w:tcW w:type="dxa" w:w="3600"/>
            <w:shd w:val="clear" w:color="auto" w:fill="F7F7FA"/>
          </w:tcPr>
          <w:p>
            <w:pPr>
              <w:spacing w:before="60" w:after="60"/>
            </w:pPr>
            <w:r>
              <w:rPr>
                <w:rFonts w:ascii="Georgia" w:hAnsi="Georgia"/>
                <w:b w:val="0"/>
                <w:i w:val="0"/>
                <w:color w:val="2C2C2C"/>
                <w:sz w:val="18"/>
              </w:rPr>
              <w:t>Agent Runtime Control Plane</w:t>
            </w:r>
          </w:p>
        </w:tc>
      </w:tr>
    </w:tbl>
    <w:p/>
    <w:p>
      <w:pPr>
        <w:spacing w:before="40" w:after="80" w:line="280" w:lineRule="exact"/>
      </w:pPr>
      <w:r>
        <w:rPr>
          <w:rFonts w:ascii="Georgia" w:hAnsi="Georgia"/>
          <w:b w:val="0"/>
          <w:i w:val="0"/>
          <w:color w:val="2C2C2C"/>
          <w:sz w:val="20"/>
        </w:rPr>
        <w:t>Together these three layers form the Company OS — the substrate that makes human + agent collaboration trustworthy, auditable, and cumulative. This is the repeatable core we productize and deploy.</w:t>
      </w:r>
    </w:p>
    <w:p>
      <w:pPr>
        <w:spacing w:before="360" w:after="120"/>
      </w:pPr>
      <w:r>
        <w:rPr>
          <w:rFonts w:ascii="Georgia" w:hAnsi="Georgia"/>
          <w:b/>
          <w:i w:val="0"/>
          <w:color w:val="D0D0D8"/>
          <w:sz w:val="26"/>
        </w:rPr>
        <w:t xml:space="preserve">03  </w:t>
      </w:r>
      <w:r>
        <w:rPr>
          <w:rFonts w:ascii="Georgia" w:hAnsi="Georgia"/>
          <w:b/>
          <w:i w:val="0"/>
          <w:color w:val="1A1A2E"/>
          <w:sz w:val="26"/>
        </w:rPr>
        <w:t>THE PRODUCT STACK</w:t>
      </w:r>
    </w:p>
    <w:p>
      <w:pPr>
        <w:pBdr>
          <w:bottom w:val="single" w:sz="4" w:space="1" w:color="D0D0D8"/>
        </w:pBdr>
        <w:spacing w:before="40" w:after="40"/>
      </w:pPr>
    </w:p>
    <w:p>
      <w:pPr>
        <w:spacing w:before="200" w:after="60"/>
      </w:pPr>
      <w:r>
        <w:rPr>
          <w:rFonts w:ascii="Georgia" w:hAnsi="Georgia"/>
          <w:b/>
          <w:i w:val="0"/>
          <w:color w:val="2C2C2C"/>
          <w:sz w:val="21"/>
        </w:rPr>
        <w:t>Layer 1 — Institutional Memory Engine</w:t>
      </w:r>
    </w:p>
    <w:p>
      <w:pPr>
        <w:spacing w:before="40" w:after="80" w:line="280" w:lineRule="exact"/>
      </w:pPr>
      <w:r>
        <w:rPr>
          <w:rFonts w:ascii="Georgia" w:hAnsi="Georgia"/>
          <w:b w:val="0"/>
          <w:i w:val="0"/>
          <w:color w:val="2C2C2C"/>
          <w:sz w:val="20"/>
        </w:rPr>
        <w:t>A structured memory system that captures, governs, and retrieves operational knowledge for both humans and agents. It replaces knowledge trapped in chat threads, consultant heads, and meeting notes that never become reusable. Memory is first because it makes every subsequent product and every subsequent engagement cumulative. Without it, every deployment starts from zero.</w:t>
      </w:r>
    </w:p>
    <w:p>
      <w:pPr>
        <w:spacing w:before="200" w:after="60"/>
      </w:pPr>
      <w:r>
        <w:rPr>
          <w:rFonts w:ascii="Georgia" w:hAnsi="Georgia"/>
          <w:b/>
          <w:i w:val="0"/>
          <w:color w:val="2C2C2C"/>
          <w:sz w:val="21"/>
        </w:rPr>
        <w:t>Layer 2 — Long-Horizon Workflow Agent</w:t>
      </w:r>
    </w:p>
    <w:p>
      <w:pPr>
        <w:spacing w:before="40" w:after="80" w:line="280" w:lineRule="exact"/>
      </w:pPr>
      <w:r>
        <w:rPr>
          <w:rFonts w:ascii="Georgia" w:hAnsi="Georgia"/>
          <w:b w:val="0"/>
          <w:i w:val="0"/>
          <w:color w:val="2C2C2C"/>
          <w:sz w:val="20"/>
        </w:rPr>
        <w:t>An agent designed to keep multi-week, multi-stakeholder workflows moving without drift, missed follow-up, or invisible blockers. It gives operators a reliable state machine for onboarding programs, delivery coordination, compliance work, and any process where the cost of failure accumulates over weeks rather than hours.</w:t>
      </w:r>
    </w:p>
    <w:p>
      <w:pPr>
        <w:spacing w:before="200" w:after="60"/>
      </w:pPr>
      <w:r>
        <w:rPr>
          <w:rFonts w:ascii="Georgia" w:hAnsi="Georgia"/>
          <w:b/>
          <w:i w:val="0"/>
          <w:color w:val="2C2C2C"/>
          <w:sz w:val="21"/>
        </w:rPr>
        <w:t>Layer 3 — Agent Runtime Control Plane</w:t>
      </w:r>
    </w:p>
    <w:p>
      <w:pPr>
        <w:spacing w:before="40" w:after="80" w:line="280" w:lineRule="exact"/>
      </w:pPr>
      <w:r>
        <w:rPr>
          <w:rFonts w:ascii="Georgia" w:hAnsi="Georgia"/>
          <w:b w:val="0"/>
          <w:i w:val="0"/>
          <w:color w:val="2C2C2C"/>
          <w:sz w:val="20"/>
        </w:rPr>
        <w:t>A control plane for operating agents and automations safely across multiple workflows, teams, and environments. It provides the governance, approval gates, audit trail, and cost visibility that make a CFO or CTO comfortable signing an enterprise contract. This layer becomes essential once more than one agent is active.</w:t>
      </w:r>
    </w:p>
    <w:p>
      <w:pPr>
        <w:spacing w:before="200" w:after="60"/>
      </w:pPr>
      <w:r>
        <w:rPr>
          <w:rFonts w:ascii="Georgia" w:hAnsi="Georgia"/>
          <w:b/>
          <w:i w:val="0"/>
          <w:color w:val="2C2C2C"/>
          <w:sz w:val="21"/>
        </w:rPr>
        <w:t>The Stack Is the Moat</w:t>
      </w:r>
    </w:p>
    <w:p>
      <w:pPr>
        <w:spacing w:before="40" w:after="80" w:line="280" w:lineRule="exact"/>
      </w:pPr>
      <w:r>
        <w:rPr>
          <w:rFonts w:ascii="Georgia" w:hAnsi="Georgia"/>
          <w:b w:val="0"/>
          <w:i w:val="0"/>
          <w:color w:val="2C2C2C"/>
          <w:sz w:val="20"/>
        </w:rPr>
        <w:t>Each layer is useful alone. Together they are significantly harder to displace. Memory accumulates knowledge of how a specific organization works. Workflow builds behavioral understanding of how that organization operates. Control becomes the system of record for agent governance. The longer a client uses the stack, the more expensive it is to leave — switching-cost defensibility built from genuine operational integration, not contractual lock-in.</w:t>
      </w:r>
    </w:p>
    <w:p>
      <w:pPr>
        <w:spacing w:before="360" w:after="120"/>
      </w:pPr>
      <w:r>
        <w:rPr>
          <w:rFonts w:ascii="Georgia" w:hAnsi="Georgia"/>
          <w:b/>
          <w:i w:val="0"/>
          <w:color w:val="D0D0D8"/>
          <w:sz w:val="26"/>
        </w:rPr>
        <w:t xml:space="preserve">04  </w:t>
      </w:r>
      <w:r>
        <w:rPr>
          <w:rFonts w:ascii="Georgia" w:hAnsi="Georgia"/>
          <w:b/>
          <w:i w:val="0"/>
          <w:color w:val="1A1A2E"/>
          <w:sz w:val="26"/>
        </w:rPr>
        <w:t>STRATEGIC IDENTITY — WHAT WE ARE NOT</w:t>
      </w:r>
    </w:p>
    <w:p>
      <w:pPr>
        <w:pBdr>
          <w:bottom w:val="single" w:sz="4" w:space="1" w:color="D0D0D8"/>
        </w:pBdr>
        <w:spacing w:before="40" w:after="40"/>
      </w:pPr>
    </w:p>
    <w:tbl>
      <w:tblPr>
        <w:tblStyle w:val="TableGrid"/>
        <w:tblW w:type="auto" w:w="0"/>
        <w:tblLook w:firstColumn="1" w:firstRow="1" w:lastColumn="0" w:lastRow="0" w:noHBand="0" w:noVBand="1" w:val="04A0"/>
      </w:tblPr>
      <w:tblGrid>
        <w:gridCol w:w="4533"/>
        <w:gridCol w:w="4533"/>
      </w:tblGrid>
      <w:tr>
        <w:tc>
          <w:tcPr>
            <w:tcW w:type="dxa" w:w="4752"/>
            <w:shd w:val="clear" w:color="auto" w:fill="1A1A2E"/>
          </w:tcPr>
          <w:p>
            <w:pPr>
              <w:spacing w:before="80" w:after="80"/>
              <w:jc w:val="left"/>
            </w:pPr>
            <w:r>
              <w:rPr>
                <w:rFonts w:ascii="Georgia" w:hAnsi="Georgia"/>
                <w:b/>
                <w:i w:val="0"/>
                <w:color w:val="FFFFFF"/>
                <w:sz w:val="18"/>
              </w:rPr>
              <w:t>We are</w:t>
            </w:r>
          </w:p>
        </w:tc>
        <w:tc>
          <w:tcPr>
            <w:tcW w:type="dxa" w:w="4752"/>
            <w:shd w:val="clear" w:color="auto" w:fill="1A1A2E"/>
          </w:tcPr>
          <w:p>
            <w:pPr>
              <w:spacing w:before="80" w:after="80"/>
              <w:jc w:val="left"/>
            </w:pPr>
            <w:r>
              <w:rPr>
                <w:rFonts w:ascii="Georgia" w:hAnsi="Georgia"/>
                <w:b/>
                <w:i w:val="0"/>
                <w:color w:val="FFFFFF"/>
                <w:sz w:val="18"/>
              </w:rPr>
              <w:t>We are not</w:t>
            </w:r>
          </w:p>
        </w:tc>
      </w:tr>
      <w:tr>
        <w:tc>
          <w:tcPr>
            <w:tcW w:type="dxa" w:w="4752"/>
            <w:shd w:val="clear" w:color="auto" w:fill="F7F7FA"/>
          </w:tcPr>
          <w:p>
            <w:pPr>
              <w:spacing w:before="60" w:after="60"/>
            </w:pPr>
            <w:r>
              <w:rPr>
                <w:rFonts w:ascii="Georgia" w:hAnsi="Georgia"/>
                <w:b w:val="0"/>
                <w:i w:val="0"/>
                <w:color w:val="2C2C2C"/>
                <w:sz w:val="18"/>
              </w:rPr>
              <w:t>An enterprise software company with embedded deployment</w:t>
            </w:r>
          </w:p>
        </w:tc>
        <w:tc>
          <w:tcPr>
            <w:tcW w:type="dxa" w:w="4752"/>
            <w:shd w:val="clear" w:color="auto" w:fill="F7F7FA"/>
          </w:tcPr>
          <w:p>
            <w:pPr>
              <w:spacing w:before="60" w:after="60"/>
            </w:pPr>
            <w:r>
              <w:rPr>
                <w:rFonts w:ascii="Georgia" w:hAnsi="Georgia"/>
                <w:b w:val="0"/>
                <w:i w:val="0"/>
                <w:color w:val="2C2C2C"/>
                <w:sz w:val="18"/>
              </w:rPr>
              <w:t>A consultancy selling hours</w:t>
            </w:r>
          </w:p>
        </w:tc>
      </w:tr>
      <w:tr>
        <w:tc>
          <w:tcPr>
            <w:tcW w:type="dxa" w:w="4752"/>
            <w:shd w:val="clear" w:color="auto" w:fill="FFFFFF"/>
          </w:tcPr>
          <w:p>
            <w:pPr>
              <w:spacing w:before="60" w:after="60"/>
            </w:pPr>
            <w:r>
              <w:rPr>
                <w:rFonts w:ascii="Georgia" w:hAnsi="Georgia"/>
                <w:b w:val="0"/>
                <w:i w:val="0"/>
                <w:color w:val="2C2C2C"/>
                <w:sz w:val="18"/>
              </w:rPr>
              <w:t>The operating layer for human + agent collaboration</w:t>
            </w:r>
          </w:p>
        </w:tc>
        <w:tc>
          <w:tcPr>
            <w:tcW w:type="dxa" w:w="4752"/>
            <w:shd w:val="clear" w:color="auto" w:fill="FFFFFF"/>
          </w:tcPr>
          <w:p>
            <w:pPr>
              <w:spacing w:before="60" w:after="60"/>
            </w:pPr>
            <w:r>
              <w:rPr>
                <w:rFonts w:ascii="Georgia" w:hAnsi="Georgia"/>
                <w:b w:val="0"/>
                <w:i w:val="0"/>
                <w:color w:val="2C2C2C"/>
                <w:sz w:val="18"/>
              </w:rPr>
              <w:t>A generic AI platform or LLM wrapper</w:t>
            </w:r>
          </w:p>
        </w:tc>
      </w:tr>
      <w:tr>
        <w:tc>
          <w:tcPr>
            <w:tcW w:type="dxa" w:w="4752"/>
            <w:shd w:val="clear" w:color="auto" w:fill="F7F7FA"/>
          </w:tcPr>
          <w:p>
            <w:pPr>
              <w:spacing w:before="60" w:after="60"/>
            </w:pPr>
            <w:r>
              <w:rPr>
                <w:rFonts w:ascii="Georgia" w:hAnsi="Georgia"/>
                <w:b w:val="0"/>
                <w:i w:val="0"/>
                <w:color w:val="2C2C2C"/>
                <w:sz w:val="18"/>
              </w:rPr>
              <w:t>A system with memory, workflow, and governance</w:t>
            </w:r>
          </w:p>
        </w:tc>
        <w:tc>
          <w:tcPr>
            <w:tcW w:type="dxa" w:w="4752"/>
            <w:shd w:val="clear" w:color="auto" w:fill="F7F7FA"/>
          </w:tcPr>
          <w:p>
            <w:pPr>
              <w:spacing w:before="60" w:after="60"/>
            </w:pPr>
            <w:r>
              <w:rPr>
                <w:rFonts w:ascii="Georgia" w:hAnsi="Georgia"/>
                <w:b w:val="0"/>
                <w:i w:val="0"/>
                <w:color w:val="2C2C2C"/>
                <w:sz w:val="18"/>
              </w:rPr>
              <w:t>A chatbot, copilot, or automation tool</w:t>
            </w:r>
          </w:p>
        </w:tc>
      </w:tr>
      <w:tr>
        <w:tc>
          <w:tcPr>
            <w:tcW w:type="dxa" w:w="4752"/>
            <w:shd w:val="clear" w:color="auto" w:fill="FFFFFF"/>
          </w:tcPr>
          <w:p>
            <w:pPr>
              <w:spacing w:before="60" w:after="60"/>
            </w:pPr>
            <w:r>
              <w:rPr>
                <w:rFonts w:ascii="Georgia" w:hAnsi="Georgia"/>
                <w:b w:val="0"/>
                <w:i w:val="0"/>
                <w:color w:val="2C2C2C"/>
                <w:sz w:val="18"/>
              </w:rPr>
              <w:t>Sold on operational outcomes and measurable ROI</w:t>
            </w:r>
          </w:p>
        </w:tc>
        <w:tc>
          <w:tcPr>
            <w:tcW w:type="dxa" w:w="4752"/>
            <w:shd w:val="clear" w:color="auto" w:fill="FFFFFF"/>
          </w:tcPr>
          <w:p>
            <w:pPr>
              <w:spacing w:before="60" w:after="60"/>
            </w:pPr>
            <w:r>
              <w:rPr>
                <w:rFonts w:ascii="Georgia" w:hAnsi="Georgia"/>
                <w:b w:val="0"/>
                <w:i w:val="0"/>
                <w:color w:val="2C2C2C"/>
                <w:sz w:val="18"/>
              </w:rPr>
              <w:t>Sold on AI novelty or demo theatrics</w:t>
            </w:r>
          </w:p>
        </w:tc>
      </w:tr>
      <w:tr>
        <w:tc>
          <w:tcPr>
            <w:tcW w:type="dxa" w:w="4752"/>
            <w:shd w:val="clear" w:color="auto" w:fill="F7F7FA"/>
          </w:tcPr>
          <w:p>
            <w:pPr>
              <w:spacing w:before="60" w:after="60"/>
            </w:pPr>
            <w:r>
              <w:rPr>
                <w:rFonts w:ascii="Georgia" w:hAnsi="Georgia"/>
                <w:b w:val="0"/>
                <w:i w:val="0"/>
                <w:color w:val="2C2C2C"/>
                <w:sz w:val="18"/>
              </w:rPr>
              <w:t>Forward deployed to enterprise accounts</w:t>
            </w:r>
          </w:p>
        </w:tc>
        <w:tc>
          <w:tcPr>
            <w:tcW w:type="dxa" w:w="4752"/>
            <w:shd w:val="clear" w:color="auto" w:fill="F7F7FA"/>
          </w:tcPr>
          <w:p>
            <w:pPr>
              <w:spacing w:before="60" w:after="60"/>
            </w:pPr>
            <w:r>
              <w:rPr>
                <w:rFonts w:ascii="Georgia" w:hAnsi="Georgia"/>
                <w:b w:val="0"/>
                <w:i w:val="0"/>
                <w:color w:val="2C2C2C"/>
                <w:sz w:val="18"/>
              </w:rPr>
              <w:t>A self-serve SaaS product for SMBs</w:t>
            </w:r>
          </w:p>
        </w:tc>
      </w:tr>
    </w:tbl>
    <w:p/>
    <w:p>
      <w:pPr>
        <w:spacing w:before="360" w:after="120"/>
      </w:pPr>
      <w:r>
        <w:rPr>
          <w:rFonts w:ascii="Georgia" w:hAnsi="Georgia"/>
          <w:b/>
          <w:i w:val="0"/>
          <w:color w:val="D0D0D8"/>
          <w:sz w:val="26"/>
        </w:rPr>
        <w:t xml:space="preserve">05  </w:t>
      </w:r>
      <w:r>
        <w:rPr>
          <w:rFonts w:ascii="Georgia" w:hAnsi="Georgia"/>
          <w:b/>
          <w:i w:val="0"/>
          <w:color w:val="1A1A2E"/>
          <w:sz w:val="26"/>
        </w:rPr>
        <w:t>INFRASTRUCTURE PARTNERSHIP — ON-PREM &amp; MULTICLOUD</w:t>
      </w:r>
    </w:p>
    <w:p>
      <w:pPr>
        <w:pBdr>
          <w:bottom w:val="single" w:sz="4" w:space="1" w:color="D0D0D8"/>
        </w:pBdr>
        <w:spacing w:before="40" w:after="40"/>
      </w:pPr>
    </w:p>
    <w:p>
      <w:pPr>
        <w:spacing w:before="40" w:after="80" w:line="280" w:lineRule="exact"/>
      </w:pPr>
      <w:r>
        <w:rPr>
          <w:rFonts w:ascii="Georgia" w:hAnsi="Georgia"/>
          <w:b w:val="0"/>
          <w:i w:val="0"/>
          <w:color w:val="2C2C2C"/>
          <w:sz w:val="20"/>
        </w:rPr>
        <w:t>A strategic infrastructure partnership is currently in formation with an undisclosed enterprise technology partner. This partnership will enable Hermes to offer on-premises and multicloud deployment options for the full AgentOS stack.</w:t>
      </w:r>
    </w:p>
    <w:p>
      <w:pPr>
        <w:spacing w:before="40" w:after="80" w:line="280" w:lineRule="exact"/>
      </w:pPr>
      <w:r>
        <w:rPr>
          <w:rFonts w:ascii="Georgia" w:hAnsi="Georgia"/>
          <w:b w:val="0"/>
          <w:i w:val="0"/>
          <w:color w:val="2C2C2C"/>
          <w:sz w:val="20"/>
        </w:rPr>
        <w:t>This matters for several reasons that directly affect the enterprise and regional go-to-market:</w:t>
      </w:r>
    </w:p>
    <w:p>
      <w:pPr>
        <w:pStyle w:val="ListBullet"/>
        <w:spacing w:before="20" w:after="40" w:line="260" w:lineRule="exact"/>
        <w:ind w:left="320" w:hanging="200"/>
      </w:pPr>
      <w:r>
        <w:rPr>
          <w:rFonts w:ascii="Georgia" w:hAnsi="Georgia"/>
          <w:b w:val="0"/>
          <w:i w:val="0"/>
          <w:color w:val="2C2C2C"/>
          <w:sz w:val="20"/>
        </w:rPr>
        <w:t>Data residency requirements — particularly in Saudi Arabia and regulated sectors — often make cloud-only architectures a commercial blocker. On-prem removes this objection entirely.</w:t>
      </w:r>
    </w:p>
    <w:p>
      <w:pPr>
        <w:pStyle w:val="ListBullet"/>
        <w:spacing w:before="20" w:after="40" w:line="260" w:lineRule="exact"/>
        <w:ind w:left="320" w:hanging="200"/>
      </w:pPr>
      <w:r>
        <w:rPr>
          <w:rFonts w:ascii="Georgia" w:hAnsi="Georgia"/>
          <w:b w:val="0"/>
          <w:i w:val="0"/>
          <w:color w:val="2C2C2C"/>
          <w:sz w:val="20"/>
        </w:rPr>
        <w:t>Large enterprise and government-adjacent accounts in the Gulf frequently require sovereign deployment options. This partnership positions Hermes to pursue those accounts from day one.</w:t>
      </w:r>
    </w:p>
    <w:p>
      <w:pPr>
        <w:pStyle w:val="ListBullet"/>
        <w:spacing w:before="20" w:after="40" w:line="260" w:lineRule="exact"/>
        <w:ind w:left="320" w:hanging="200"/>
      </w:pPr>
      <w:r>
        <w:rPr>
          <w:rFonts w:ascii="Georgia" w:hAnsi="Georgia"/>
          <w:b w:val="0"/>
          <w:i w:val="0"/>
          <w:color w:val="2C2C2C"/>
          <w:sz w:val="20"/>
        </w:rPr>
        <w:t>Multicloud flexibility signals infrastructure seriousness to procurement teams and CISOs who evaluate vendor lock-in risk.</w:t>
      </w:r>
    </w:p>
    <w:p>
      <w:pPr>
        <w:pStyle w:val="ListBullet"/>
        <w:spacing w:before="20" w:after="40" w:line="260" w:lineRule="exact"/>
        <w:ind w:left="320" w:hanging="200"/>
      </w:pPr>
      <w:r>
        <w:rPr>
          <w:rFonts w:ascii="Georgia" w:hAnsi="Georgia"/>
          <w:b w:val="0"/>
          <w:i w:val="0"/>
          <w:color w:val="2C2C2C"/>
          <w:sz w:val="20"/>
        </w:rPr>
        <w:t>The partnership may open co-sell and referral pipeline from an established enterprise infrastructure player — a significant distribution advantage for a company at this stage.</w:t>
      </w:r>
    </w:p>
    <w:p>
      <w:pPr>
        <w:spacing w:before="40" w:after="80" w:line="280" w:lineRule="exact"/>
      </w:pPr>
      <w:r>
        <w:rPr>
          <w:rFonts w:ascii="Georgia" w:hAnsi="Georgia"/>
          <w:b w:val="0"/>
          <w:i w:val="0"/>
          <w:color w:val="2C2C2C"/>
          <w:sz w:val="20"/>
        </w:rPr>
        <w:t>Details of the partner arrangement remain confidential pending finalization. The product architecture is being designed to support this deployment model from the outset, not as a later-stage retrofit.</w:t>
      </w:r>
    </w:p>
    <w:p>
      <w:pPr>
        <w:spacing w:before="360" w:after="120"/>
      </w:pPr>
      <w:r>
        <w:rPr>
          <w:rFonts w:ascii="Georgia" w:hAnsi="Georgia"/>
          <w:b/>
          <w:i w:val="0"/>
          <w:color w:val="D0D0D8"/>
          <w:sz w:val="26"/>
        </w:rPr>
        <w:t xml:space="preserve">06  </w:t>
      </w:r>
      <w:r>
        <w:rPr>
          <w:rFonts w:ascii="Georgia" w:hAnsi="Georgia"/>
          <w:b/>
          <w:i w:val="0"/>
          <w:color w:val="1A1A2E"/>
          <w:sz w:val="26"/>
        </w:rPr>
        <w:t>GO-TO-MARKET MODEL</w:t>
      </w:r>
    </w:p>
    <w:p>
      <w:pPr>
        <w:pBdr>
          <w:bottom w:val="single" w:sz="4" w:space="1" w:color="D0D0D8"/>
        </w:pBdr>
        <w:spacing w:before="40" w:after="40"/>
      </w:pPr>
    </w:p>
    <w:p>
      <w:pPr>
        <w:spacing w:before="200" w:after="60"/>
      </w:pPr>
      <w:r>
        <w:rPr>
          <w:rFonts w:ascii="Georgia" w:hAnsi="Georgia"/>
          <w:b/>
          <w:i w:val="0"/>
          <w:color w:val="2C2C2C"/>
          <w:sz w:val="21"/>
        </w:rPr>
        <w:t>The Delivery Sequence</w:t>
      </w:r>
    </w:p>
    <w:p>
      <w:pPr>
        <w:spacing w:before="40" w:after="80" w:line="280" w:lineRule="exact"/>
      </w:pPr>
      <w:r>
        <w:rPr>
          <w:rFonts w:ascii="Georgia" w:hAnsi="Georgia"/>
          <w:b w:val="0"/>
          <w:i w:val="0"/>
          <w:color w:val="2C2C2C"/>
          <w:sz w:val="20"/>
        </w:rPr>
        <w:t>Every enterprise account moves through a standard four-phase sequence. This is both the sales motion and the adoption model.</w:t>
      </w:r>
    </w:p>
    <w:tbl>
      <w:tblPr>
        <w:tblStyle w:val="TableGrid"/>
        <w:tblW w:type="auto" w:w="0"/>
        <w:tblLook w:firstColumn="1" w:firstRow="1" w:lastColumn="0" w:lastRow="0" w:noHBand="0" w:noVBand="1" w:val="04A0"/>
      </w:tblPr>
      <w:tblGrid>
        <w:gridCol w:w="3022"/>
        <w:gridCol w:w="3022"/>
        <w:gridCol w:w="3022"/>
      </w:tblGrid>
      <w:tr>
        <w:tc>
          <w:tcPr>
            <w:tcW w:type="dxa" w:w="2880"/>
            <w:shd w:val="clear" w:color="auto" w:fill="1A1A2E"/>
          </w:tcPr>
          <w:p>
            <w:pPr>
              <w:spacing w:before="80" w:after="80"/>
              <w:jc w:val="left"/>
            </w:pPr>
            <w:r>
              <w:rPr>
                <w:rFonts w:ascii="Georgia" w:hAnsi="Georgia"/>
                <w:b/>
                <w:i w:val="0"/>
                <w:color w:val="FFFFFF"/>
                <w:sz w:val="18"/>
              </w:rPr>
              <w:t>Phase</w:t>
            </w:r>
          </w:p>
        </w:tc>
        <w:tc>
          <w:tcPr>
            <w:tcW w:type="dxa" w:w="4752"/>
            <w:shd w:val="clear" w:color="auto" w:fill="1A1A2E"/>
          </w:tcPr>
          <w:p>
            <w:pPr>
              <w:spacing w:before="80" w:after="80"/>
              <w:jc w:val="left"/>
            </w:pPr>
            <w:r>
              <w:rPr>
                <w:rFonts w:ascii="Georgia" w:hAnsi="Georgia"/>
                <w:b/>
                <w:i w:val="0"/>
                <w:color w:val="FFFFFF"/>
                <w:sz w:val="18"/>
              </w:rPr>
              <w:t>Description</w:t>
            </w:r>
          </w:p>
        </w:tc>
        <w:tc>
          <w:tcPr>
            <w:tcW w:type="dxa" w:w="1872"/>
            <w:shd w:val="clear" w:color="auto" w:fill="1A1A2E"/>
          </w:tcPr>
          <w:p>
            <w:pPr>
              <w:spacing w:before="80" w:after="80"/>
              <w:jc w:val="left"/>
            </w:pPr>
            <w:r>
              <w:rPr>
                <w:rFonts w:ascii="Georgia" w:hAnsi="Georgia"/>
                <w:b/>
                <w:i w:val="0"/>
                <w:color w:val="FFFFFF"/>
                <w:sz w:val="18"/>
              </w:rPr>
              <w:t>Output</w:t>
            </w:r>
          </w:p>
        </w:tc>
      </w:tr>
      <w:tr>
        <w:tc>
          <w:tcPr>
            <w:tcW w:type="dxa" w:w="2880"/>
            <w:shd w:val="clear" w:color="auto" w:fill="F7F7FA"/>
          </w:tcPr>
          <w:p>
            <w:pPr>
              <w:spacing w:before="60" w:after="60"/>
            </w:pPr>
            <w:r>
              <w:rPr>
                <w:rFonts w:ascii="Georgia" w:hAnsi="Georgia"/>
                <w:b w:val="0"/>
                <w:i w:val="0"/>
                <w:color w:val="2C2C2C"/>
                <w:sz w:val="18"/>
              </w:rPr>
              <w:t>01  Diagnostic Sprint</w:t>
            </w:r>
          </w:p>
        </w:tc>
        <w:tc>
          <w:tcPr>
            <w:tcW w:type="dxa" w:w="4752"/>
            <w:shd w:val="clear" w:color="auto" w:fill="F7F7FA"/>
          </w:tcPr>
          <w:p>
            <w:pPr>
              <w:spacing w:before="60" w:after="60"/>
            </w:pPr>
            <w:r>
              <w:rPr>
                <w:rFonts w:ascii="Georgia" w:hAnsi="Georgia"/>
                <w:b w:val="0"/>
                <w:i w:val="0"/>
                <w:color w:val="2C2C2C"/>
                <w:sz w:val="18"/>
              </w:rPr>
              <w:t>Paid, fixed-scope workflow audit, bottleneck map, ROI model, 90-day recommendation</w:t>
            </w:r>
          </w:p>
        </w:tc>
        <w:tc>
          <w:tcPr>
            <w:tcW w:type="dxa" w:w="1872"/>
            <w:shd w:val="clear" w:color="auto" w:fill="F7F7FA"/>
          </w:tcPr>
          <w:p>
            <w:pPr>
              <w:spacing w:before="60" w:after="60"/>
            </w:pPr>
            <w:r>
              <w:rPr>
                <w:rFonts w:ascii="Georgia" w:hAnsi="Georgia"/>
                <w:b w:val="0"/>
                <w:i w:val="0"/>
                <w:color w:val="2C2C2C"/>
                <w:sz w:val="18"/>
              </w:rPr>
              <w:t>Trust + pipeline</w:t>
            </w:r>
          </w:p>
        </w:tc>
      </w:tr>
      <w:tr>
        <w:tc>
          <w:tcPr>
            <w:tcW w:type="dxa" w:w="2880"/>
            <w:shd w:val="clear" w:color="auto" w:fill="FFFFFF"/>
          </w:tcPr>
          <w:p>
            <w:pPr>
              <w:spacing w:before="60" w:after="60"/>
            </w:pPr>
            <w:r>
              <w:rPr>
                <w:rFonts w:ascii="Georgia" w:hAnsi="Georgia"/>
                <w:b w:val="0"/>
                <w:i w:val="0"/>
                <w:color w:val="2C2C2C"/>
                <w:sz w:val="18"/>
              </w:rPr>
              <w:t>02  Fixed-Scope Pilot</w:t>
            </w:r>
          </w:p>
        </w:tc>
        <w:tc>
          <w:tcPr>
            <w:tcW w:type="dxa" w:w="4752"/>
            <w:shd w:val="clear" w:color="auto" w:fill="FFFFFF"/>
          </w:tcPr>
          <w:p>
            <w:pPr>
              <w:spacing w:before="60" w:after="60"/>
            </w:pPr>
            <w:r>
              <w:rPr>
                <w:rFonts w:ascii="Georgia" w:hAnsi="Georgia"/>
                <w:b w:val="0"/>
                <w:i w:val="0"/>
                <w:color w:val="2C2C2C"/>
                <w:sz w:val="18"/>
              </w:rPr>
              <w:t>One workflow improved end-to-end with measurable outcome and success criteria agreed upfront</w:t>
            </w:r>
          </w:p>
        </w:tc>
        <w:tc>
          <w:tcPr>
            <w:tcW w:type="dxa" w:w="1872"/>
            <w:shd w:val="clear" w:color="auto" w:fill="FFFFFF"/>
          </w:tcPr>
          <w:p>
            <w:pPr>
              <w:spacing w:before="60" w:after="60"/>
            </w:pPr>
            <w:r>
              <w:rPr>
                <w:rFonts w:ascii="Georgia" w:hAnsi="Georgia"/>
                <w:b w:val="0"/>
                <w:i w:val="0"/>
                <w:color w:val="2C2C2C"/>
                <w:sz w:val="18"/>
              </w:rPr>
              <w:t>Proof of value</w:t>
            </w:r>
          </w:p>
        </w:tc>
      </w:tr>
      <w:tr>
        <w:tc>
          <w:tcPr>
            <w:tcW w:type="dxa" w:w="2880"/>
            <w:shd w:val="clear" w:color="auto" w:fill="F7F7FA"/>
          </w:tcPr>
          <w:p>
            <w:pPr>
              <w:spacing w:before="60" w:after="60"/>
            </w:pPr>
            <w:r>
              <w:rPr>
                <w:rFonts w:ascii="Georgia" w:hAnsi="Georgia"/>
                <w:b w:val="0"/>
                <w:i w:val="0"/>
                <w:color w:val="2C2C2C"/>
                <w:sz w:val="18"/>
              </w:rPr>
              <w:t>03  Forward-Deployed Implementation</w:t>
            </w:r>
          </w:p>
        </w:tc>
        <w:tc>
          <w:tcPr>
            <w:tcW w:type="dxa" w:w="4752"/>
            <w:shd w:val="clear" w:color="auto" w:fill="F7F7FA"/>
          </w:tcPr>
          <w:p>
            <w:pPr>
              <w:spacing w:before="60" w:after="60"/>
            </w:pPr>
            <w:r>
              <w:rPr>
                <w:rFonts w:ascii="Georgia" w:hAnsi="Georgia"/>
                <w:b w:val="0"/>
                <w:i w:val="0"/>
                <w:color w:val="2C2C2C"/>
                <w:sz w:val="18"/>
              </w:rPr>
              <w:t>Embedded team configures memory, workflow, and governance inside the client environment</w:t>
            </w:r>
          </w:p>
        </w:tc>
        <w:tc>
          <w:tcPr>
            <w:tcW w:type="dxa" w:w="1872"/>
            <w:shd w:val="clear" w:color="auto" w:fill="F7F7FA"/>
          </w:tcPr>
          <w:p>
            <w:pPr>
              <w:spacing w:before="60" w:after="60"/>
            </w:pPr>
            <w:r>
              <w:rPr>
                <w:rFonts w:ascii="Georgia" w:hAnsi="Georgia"/>
                <w:b w:val="0"/>
                <w:i w:val="0"/>
                <w:color w:val="2C2C2C"/>
                <w:sz w:val="18"/>
              </w:rPr>
              <w:t>Platform adoption</w:t>
            </w:r>
          </w:p>
        </w:tc>
      </w:tr>
      <w:tr>
        <w:tc>
          <w:tcPr>
            <w:tcW w:type="dxa" w:w="2880"/>
            <w:shd w:val="clear" w:color="auto" w:fill="FFFFFF"/>
          </w:tcPr>
          <w:p>
            <w:pPr>
              <w:spacing w:before="60" w:after="60"/>
            </w:pPr>
            <w:r>
              <w:rPr>
                <w:rFonts w:ascii="Georgia" w:hAnsi="Georgia"/>
                <w:b w:val="0"/>
                <w:i w:val="0"/>
                <w:color w:val="2C2C2C"/>
                <w:sz w:val="18"/>
              </w:rPr>
              <w:t>04  Subscription + Managed Service</w:t>
            </w:r>
          </w:p>
        </w:tc>
        <w:tc>
          <w:tcPr>
            <w:tcW w:type="dxa" w:w="4752"/>
            <w:shd w:val="clear" w:color="auto" w:fill="FFFFFF"/>
          </w:tcPr>
          <w:p>
            <w:pPr>
              <w:spacing w:before="60" w:after="60"/>
            </w:pPr>
            <w:r>
              <w:rPr>
                <w:rFonts w:ascii="Georgia" w:hAnsi="Georgia"/>
                <w:b w:val="0"/>
                <w:i w:val="0"/>
                <w:color w:val="2C2C2C"/>
                <w:sz w:val="18"/>
              </w:rPr>
              <w:t>Ongoing software subscription plus optional retained managed service for high-value accounts</w:t>
            </w:r>
          </w:p>
        </w:tc>
        <w:tc>
          <w:tcPr>
            <w:tcW w:type="dxa" w:w="1872"/>
            <w:shd w:val="clear" w:color="auto" w:fill="FFFFFF"/>
          </w:tcPr>
          <w:p>
            <w:pPr>
              <w:spacing w:before="60" w:after="60"/>
            </w:pPr>
            <w:r>
              <w:rPr>
                <w:rFonts w:ascii="Georgia" w:hAnsi="Georgia"/>
                <w:b w:val="0"/>
                <w:i w:val="0"/>
                <w:color w:val="2C2C2C"/>
                <w:sz w:val="18"/>
              </w:rPr>
              <w:t>Recurring revenue</w:t>
            </w:r>
          </w:p>
        </w:tc>
      </w:tr>
    </w:tbl>
    <w:p/>
    <w:p>
      <w:pPr>
        <w:spacing w:before="200" w:after="60"/>
      </w:pPr>
      <w:r>
        <w:rPr>
          <w:rFonts w:ascii="Georgia" w:hAnsi="Georgia"/>
          <w:b/>
          <w:i w:val="0"/>
          <w:color w:val="2C2C2C"/>
          <w:sz w:val="21"/>
        </w:rPr>
        <w:t>Ideal Customer Profile</w:t>
      </w:r>
    </w:p>
    <w:p>
      <w:pPr>
        <w:spacing w:before="40" w:after="80" w:line="280" w:lineRule="exact"/>
      </w:pPr>
      <w:r>
        <w:rPr>
          <w:rFonts w:ascii="Georgia" w:hAnsi="Georgia"/>
          <w:b w:val="0"/>
          <w:i w:val="0"/>
          <w:color w:val="2C2C2C"/>
          <w:sz w:val="20"/>
        </w:rPr>
        <w:t>Best-fit buyers are enterprise and large mid-market organizations with genuine operational complexity — delivery programs, onboarding at scale, compliance workflows, multi-team coordination — who already understand the cost of coordination failure. Revenue north of $50M, operating in sectors with measurable process overhead.</w:t>
      </w:r>
    </w:p>
    <w:p>
      <w:pPr>
        <w:spacing w:before="40" w:after="80" w:line="280" w:lineRule="exact"/>
      </w:pPr>
      <w:r>
        <w:rPr>
          <w:rFonts w:ascii="Georgia" w:hAnsi="Georgia"/>
          <w:b w:val="0"/>
          <w:i w:val="0"/>
          <w:color w:val="2C2C2C"/>
          <w:sz w:val="20"/>
        </w:rPr>
        <w:t>We explicitly do not pursue startups, SMBs, or buyers seeking AI novelty without an operational problem to solve.</w:t>
      </w:r>
    </w:p>
    <w:p>
      <w:pPr>
        <w:spacing w:before="360" w:after="120"/>
      </w:pPr>
      <w:r>
        <w:rPr>
          <w:rFonts w:ascii="Georgia" w:hAnsi="Georgia"/>
          <w:b/>
          <w:i w:val="0"/>
          <w:color w:val="D0D0D8"/>
          <w:sz w:val="26"/>
        </w:rPr>
        <w:t xml:space="preserve">07  </w:t>
      </w:r>
      <w:r>
        <w:rPr>
          <w:rFonts w:ascii="Georgia" w:hAnsi="Georgia"/>
          <w:b/>
          <w:i w:val="0"/>
          <w:color w:val="1A1A2E"/>
          <w:sz w:val="26"/>
        </w:rPr>
        <w:t>PRICING DIRECTION</w:t>
      </w:r>
    </w:p>
    <w:p>
      <w:pPr>
        <w:pBdr>
          <w:bottom w:val="single" w:sz="4" w:space="1" w:color="D0D0D8"/>
        </w:pBdr>
        <w:spacing w:before="40" w:after="40"/>
      </w:pPr>
    </w:p>
    <w:p>
      <w:pPr>
        <w:spacing w:before="200" w:after="60"/>
      </w:pPr>
      <w:r>
        <w:rPr>
          <w:rFonts w:ascii="Georgia" w:hAnsi="Georgia"/>
          <w:b/>
          <w:i w:val="0"/>
          <w:color w:val="2C2C2C"/>
          <w:sz w:val="21"/>
        </w:rPr>
        <w:t>Principles</w:t>
      </w:r>
    </w:p>
    <w:p>
      <w:pPr>
        <w:pStyle w:val="ListBullet"/>
        <w:spacing w:before="20" w:after="40" w:line="260" w:lineRule="exact"/>
        <w:ind w:left="320" w:hanging="200"/>
      </w:pPr>
      <w:r>
        <w:rPr>
          <w:rFonts w:ascii="Georgia" w:hAnsi="Georgia"/>
          <w:b w:val="0"/>
          <w:i w:val="0"/>
          <w:color w:val="2C2C2C"/>
          <w:sz w:val="20"/>
        </w:rPr>
        <w:t>Price on value (outcomes), not on effort (hours).</w:t>
      </w:r>
    </w:p>
    <w:p>
      <w:pPr>
        <w:pStyle w:val="ListBullet"/>
        <w:spacing w:before="20" w:after="40" w:line="260" w:lineRule="exact"/>
        <w:ind w:left="320" w:hanging="200"/>
      </w:pPr>
      <w:r>
        <w:rPr>
          <w:rFonts w:ascii="Georgia" w:hAnsi="Georgia"/>
          <w:b w:val="0"/>
          <w:i w:val="0"/>
          <w:color w:val="2C2C2C"/>
          <w:sz w:val="20"/>
        </w:rPr>
        <w:t>Every tier must produce enough revenue to cover forward deployment cost.</w:t>
      </w:r>
    </w:p>
    <w:p>
      <w:pPr>
        <w:pStyle w:val="ListBullet"/>
        <w:spacing w:before="20" w:after="40" w:line="260" w:lineRule="exact"/>
        <w:ind w:left="320" w:hanging="200"/>
      </w:pPr>
      <w:r>
        <w:rPr>
          <w:rFonts w:ascii="Georgia" w:hAnsi="Georgia"/>
          <w:b w:val="0"/>
          <w:i w:val="0"/>
          <w:color w:val="2C2C2C"/>
          <w:sz w:val="20"/>
        </w:rPr>
        <w:t>Subscription pricing reflects operational depth — workflows under management, not seats alone.</w:t>
      </w:r>
    </w:p>
    <w:p>
      <w:pPr>
        <w:spacing w:before="200" w:after="60"/>
      </w:pPr>
      <w:r>
        <w:rPr>
          <w:rFonts w:ascii="Georgia" w:hAnsi="Georgia"/>
          <w:b/>
          <w:i w:val="0"/>
          <w:color w:val="2C2C2C"/>
          <w:sz w:val="21"/>
        </w:rPr>
        <w:t>Indicative Pricing</w:t>
      </w:r>
    </w:p>
    <w:tbl>
      <w:tblPr>
        <w:tblStyle w:val="TableGrid"/>
        <w:tblW w:type="auto" w:w="0"/>
        <w:tblLook w:firstColumn="1" w:firstRow="1" w:lastColumn="0" w:lastRow="0" w:noHBand="0" w:noVBand="1" w:val="04A0"/>
      </w:tblPr>
      <w:tblGrid>
        <w:gridCol w:w="3022"/>
        <w:gridCol w:w="3022"/>
        <w:gridCol w:w="3022"/>
      </w:tblGrid>
      <w:tr>
        <w:tc>
          <w:tcPr>
            <w:tcW w:type="dxa" w:w="3456"/>
            <w:shd w:val="clear" w:color="auto" w:fill="1A1A2E"/>
          </w:tcPr>
          <w:p>
            <w:pPr>
              <w:spacing w:before="80" w:after="80"/>
              <w:jc w:val="left"/>
            </w:pPr>
            <w:r>
              <w:rPr>
                <w:rFonts w:ascii="Georgia" w:hAnsi="Georgia"/>
                <w:b/>
                <w:i w:val="0"/>
                <w:color w:val="FFFFFF"/>
                <w:sz w:val="18"/>
              </w:rPr>
              <w:t>Offer</w:t>
            </w:r>
          </w:p>
        </w:tc>
        <w:tc>
          <w:tcPr>
            <w:tcW w:type="dxa" w:w="3456"/>
            <w:shd w:val="clear" w:color="auto" w:fill="1A1A2E"/>
          </w:tcPr>
          <w:p>
            <w:pPr>
              <w:spacing w:before="80" w:after="80"/>
              <w:jc w:val="left"/>
            </w:pPr>
            <w:r>
              <w:rPr>
                <w:rFonts w:ascii="Georgia" w:hAnsi="Georgia"/>
                <w:b/>
                <w:i w:val="0"/>
                <w:color w:val="FFFFFF"/>
                <w:sz w:val="18"/>
              </w:rPr>
              <w:t>Commercial Model</w:t>
            </w:r>
          </w:p>
        </w:tc>
        <w:tc>
          <w:tcPr>
            <w:tcW w:type="dxa" w:w="2592"/>
            <w:shd w:val="clear" w:color="auto" w:fill="1A1A2E"/>
          </w:tcPr>
          <w:p>
            <w:pPr>
              <w:spacing w:before="80" w:after="80"/>
              <w:jc w:val="left"/>
            </w:pPr>
            <w:r>
              <w:rPr>
                <w:rFonts w:ascii="Georgia" w:hAnsi="Georgia"/>
                <w:b/>
                <w:i w:val="0"/>
                <w:color w:val="FFFFFF"/>
                <w:sz w:val="18"/>
              </w:rPr>
              <w:t>Indicative Range</w:t>
            </w:r>
          </w:p>
        </w:tc>
      </w:tr>
      <w:tr>
        <w:tc>
          <w:tcPr>
            <w:tcW w:type="dxa" w:w="3456"/>
            <w:shd w:val="clear" w:color="auto" w:fill="F7F7FA"/>
          </w:tcPr>
          <w:p>
            <w:pPr>
              <w:spacing w:before="60" w:after="60"/>
            </w:pPr>
            <w:r>
              <w:rPr>
                <w:rFonts w:ascii="Georgia" w:hAnsi="Georgia"/>
                <w:b w:val="0"/>
                <w:i w:val="0"/>
                <w:color w:val="2C2C2C"/>
                <w:sz w:val="18"/>
              </w:rPr>
              <w:t>Diagnostic Sprint</w:t>
            </w:r>
          </w:p>
        </w:tc>
        <w:tc>
          <w:tcPr>
            <w:tcW w:type="dxa" w:w="3456"/>
            <w:shd w:val="clear" w:color="auto" w:fill="F7F7FA"/>
          </w:tcPr>
          <w:p>
            <w:pPr>
              <w:spacing w:before="60" w:after="60"/>
            </w:pPr>
            <w:r>
              <w:rPr>
                <w:rFonts w:ascii="Georgia" w:hAnsi="Georgia"/>
                <w:b w:val="0"/>
                <w:i w:val="0"/>
                <w:color w:val="2C2C2C"/>
                <w:sz w:val="18"/>
              </w:rPr>
              <w:t>Fixed fee</w:t>
            </w:r>
          </w:p>
        </w:tc>
        <w:tc>
          <w:tcPr>
            <w:tcW w:type="dxa" w:w="2592"/>
            <w:shd w:val="clear" w:color="auto" w:fill="F7F7FA"/>
          </w:tcPr>
          <w:p>
            <w:pPr>
              <w:spacing w:before="60" w:after="60"/>
            </w:pPr>
            <w:r>
              <w:rPr>
                <w:rFonts w:ascii="Georgia" w:hAnsi="Georgia"/>
                <w:b w:val="0"/>
                <w:i w:val="0"/>
                <w:color w:val="2C2C2C"/>
                <w:sz w:val="18"/>
              </w:rPr>
              <w:t>$15,000 – $30,000</w:t>
            </w:r>
          </w:p>
        </w:tc>
      </w:tr>
      <w:tr>
        <w:tc>
          <w:tcPr>
            <w:tcW w:type="dxa" w:w="3456"/>
            <w:shd w:val="clear" w:color="auto" w:fill="FFFFFF"/>
          </w:tcPr>
          <w:p>
            <w:pPr>
              <w:spacing w:before="60" w:after="60"/>
            </w:pPr>
            <w:r>
              <w:rPr>
                <w:rFonts w:ascii="Georgia" w:hAnsi="Georgia"/>
                <w:b w:val="0"/>
                <w:i w:val="0"/>
                <w:color w:val="2C2C2C"/>
                <w:sz w:val="18"/>
              </w:rPr>
              <w:t>Pilot Implementation</w:t>
            </w:r>
          </w:p>
        </w:tc>
        <w:tc>
          <w:tcPr>
            <w:tcW w:type="dxa" w:w="3456"/>
            <w:shd w:val="clear" w:color="auto" w:fill="FFFFFF"/>
          </w:tcPr>
          <w:p>
            <w:pPr>
              <w:spacing w:before="60" w:after="60"/>
            </w:pPr>
            <w:r>
              <w:rPr>
                <w:rFonts w:ascii="Georgia" w:hAnsi="Georgia"/>
                <w:b w:val="0"/>
                <w:i w:val="0"/>
                <w:color w:val="2C2C2C"/>
                <w:sz w:val="18"/>
              </w:rPr>
              <w:t>Fixed fee, success-scoped</w:t>
            </w:r>
          </w:p>
        </w:tc>
        <w:tc>
          <w:tcPr>
            <w:tcW w:type="dxa" w:w="2592"/>
            <w:shd w:val="clear" w:color="auto" w:fill="FFFFFF"/>
          </w:tcPr>
          <w:p>
            <w:pPr>
              <w:spacing w:before="60" w:after="60"/>
            </w:pPr>
            <w:r>
              <w:rPr>
                <w:rFonts w:ascii="Georgia" w:hAnsi="Georgia"/>
                <w:b w:val="0"/>
                <w:i w:val="0"/>
                <w:color w:val="2C2C2C"/>
                <w:sz w:val="18"/>
              </w:rPr>
              <w:t>$40,000 – $100,000</w:t>
            </w:r>
          </w:p>
        </w:tc>
      </w:tr>
      <w:tr>
        <w:tc>
          <w:tcPr>
            <w:tcW w:type="dxa" w:w="3456"/>
            <w:shd w:val="clear" w:color="auto" w:fill="F7F7FA"/>
          </w:tcPr>
          <w:p>
            <w:pPr>
              <w:spacing w:before="60" w:after="60"/>
            </w:pPr>
            <w:r>
              <w:rPr>
                <w:rFonts w:ascii="Georgia" w:hAnsi="Georgia"/>
                <w:b w:val="0"/>
                <w:i w:val="0"/>
                <w:color w:val="2C2C2C"/>
                <w:sz w:val="18"/>
              </w:rPr>
              <w:t>Forward-Deployed Implementation</w:t>
            </w:r>
          </w:p>
        </w:tc>
        <w:tc>
          <w:tcPr>
            <w:tcW w:type="dxa" w:w="3456"/>
            <w:shd w:val="clear" w:color="auto" w:fill="F7F7FA"/>
          </w:tcPr>
          <w:p>
            <w:pPr>
              <w:spacing w:before="60" w:after="60"/>
            </w:pPr>
            <w:r>
              <w:rPr>
                <w:rFonts w:ascii="Georgia" w:hAnsi="Georgia"/>
                <w:b w:val="0"/>
                <w:i w:val="0"/>
                <w:color w:val="2C2C2C"/>
                <w:sz w:val="18"/>
              </w:rPr>
              <w:t>Time-and-scope, per engagement</w:t>
            </w:r>
          </w:p>
        </w:tc>
        <w:tc>
          <w:tcPr>
            <w:tcW w:type="dxa" w:w="2592"/>
            <w:shd w:val="clear" w:color="auto" w:fill="F7F7FA"/>
          </w:tcPr>
          <w:p>
            <w:pPr>
              <w:spacing w:before="60" w:after="60"/>
            </w:pPr>
            <w:r>
              <w:rPr>
                <w:rFonts w:ascii="Georgia" w:hAnsi="Georgia"/>
                <w:b w:val="0"/>
                <w:i w:val="0"/>
                <w:color w:val="2C2C2C"/>
                <w:sz w:val="18"/>
              </w:rPr>
              <w:t>$75,000 – $250,000</w:t>
            </w:r>
          </w:p>
        </w:tc>
      </w:tr>
      <w:tr>
        <w:tc>
          <w:tcPr>
            <w:tcW w:type="dxa" w:w="3456"/>
            <w:shd w:val="clear" w:color="auto" w:fill="FFFFFF"/>
          </w:tcPr>
          <w:p>
            <w:pPr>
              <w:spacing w:before="60" w:after="60"/>
            </w:pPr>
            <w:r>
              <w:rPr>
                <w:rFonts w:ascii="Georgia" w:hAnsi="Georgia"/>
                <w:b w:val="0"/>
                <w:i w:val="0"/>
                <w:color w:val="2C2C2C"/>
                <w:sz w:val="18"/>
              </w:rPr>
              <w:t>Annual Software Subscription</w:t>
            </w:r>
          </w:p>
        </w:tc>
        <w:tc>
          <w:tcPr>
            <w:tcW w:type="dxa" w:w="3456"/>
            <w:shd w:val="clear" w:color="auto" w:fill="FFFFFF"/>
          </w:tcPr>
          <w:p>
            <w:pPr>
              <w:spacing w:before="60" w:after="60"/>
            </w:pPr>
            <w:r>
              <w:rPr>
                <w:rFonts w:ascii="Georgia" w:hAnsi="Georgia"/>
                <w:b w:val="0"/>
                <w:i w:val="0"/>
                <w:color w:val="2C2C2C"/>
                <w:sz w:val="18"/>
              </w:rPr>
              <w:t>Per workflow + per operator tier</w:t>
            </w:r>
          </w:p>
        </w:tc>
        <w:tc>
          <w:tcPr>
            <w:tcW w:type="dxa" w:w="2592"/>
            <w:shd w:val="clear" w:color="auto" w:fill="FFFFFF"/>
          </w:tcPr>
          <w:p>
            <w:pPr>
              <w:spacing w:before="60" w:after="60"/>
            </w:pPr>
            <w:r>
              <w:rPr>
                <w:rFonts w:ascii="Georgia" w:hAnsi="Georgia"/>
                <w:b w:val="0"/>
                <w:i w:val="0"/>
                <w:color w:val="2C2C2C"/>
                <w:sz w:val="18"/>
              </w:rPr>
              <w:t>$120,000 – $600,000+</w:t>
            </w:r>
          </w:p>
        </w:tc>
      </w:tr>
      <w:tr>
        <w:tc>
          <w:tcPr>
            <w:tcW w:type="dxa" w:w="3456"/>
            <w:shd w:val="clear" w:color="auto" w:fill="F7F7FA"/>
          </w:tcPr>
          <w:p>
            <w:pPr>
              <w:spacing w:before="60" w:after="60"/>
            </w:pPr>
            <w:r>
              <w:rPr>
                <w:rFonts w:ascii="Georgia" w:hAnsi="Georgia"/>
                <w:b w:val="0"/>
                <w:i w:val="0"/>
                <w:color w:val="2C2C2C"/>
                <w:sz w:val="18"/>
              </w:rPr>
              <w:t>Managed Service Retainer</w:t>
            </w:r>
          </w:p>
        </w:tc>
        <w:tc>
          <w:tcPr>
            <w:tcW w:type="dxa" w:w="3456"/>
            <w:shd w:val="clear" w:color="auto" w:fill="F7F7FA"/>
          </w:tcPr>
          <w:p>
            <w:pPr>
              <w:spacing w:before="60" w:after="60"/>
            </w:pPr>
            <w:r>
              <w:rPr>
                <w:rFonts w:ascii="Georgia" w:hAnsi="Georgia"/>
                <w:b w:val="0"/>
                <w:i w:val="0"/>
                <w:color w:val="2C2C2C"/>
                <w:sz w:val="18"/>
              </w:rPr>
              <w:t>Monthly recurring</w:t>
            </w:r>
          </w:p>
        </w:tc>
        <w:tc>
          <w:tcPr>
            <w:tcW w:type="dxa" w:w="2592"/>
            <w:shd w:val="clear" w:color="auto" w:fill="F7F7FA"/>
          </w:tcPr>
          <w:p>
            <w:pPr>
              <w:spacing w:before="60" w:after="60"/>
            </w:pPr>
            <w:r>
              <w:rPr>
                <w:rFonts w:ascii="Georgia" w:hAnsi="Georgia"/>
                <w:b w:val="0"/>
                <w:i w:val="0"/>
                <w:color w:val="2C2C2C"/>
                <w:sz w:val="18"/>
              </w:rPr>
              <w:t>$20,000 – $60,000 / month</w:t>
            </w:r>
          </w:p>
        </w:tc>
      </w:tr>
    </w:tbl>
    <w:p/>
    <w:p>
      <w:pPr>
        <w:spacing w:before="200" w:after="60"/>
      </w:pPr>
      <w:r>
        <w:rPr>
          <w:rFonts w:ascii="Georgia" w:hAnsi="Georgia"/>
          <w:b/>
          <w:i w:val="0"/>
          <w:color w:val="2C2C2C"/>
          <w:sz w:val="21"/>
        </w:rPr>
        <w:t>Subscription Metrics</w:t>
      </w:r>
    </w:p>
    <w:p>
      <w:pPr>
        <w:spacing w:before="40" w:after="80" w:line="280" w:lineRule="exact"/>
      </w:pPr>
      <w:r>
        <w:rPr>
          <w:rFonts w:ascii="Georgia" w:hAnsi="Georgia"/>
          <w:b w:val="0"/>
          <w:i w:val="0"/>
          <w:color w:val="2C2C2C"/>
          <w:sz w:val="20"/>
        </w:rPr>
        <w:t>Annual subscription pricing should be tied to one or more of: active workflows under management, operator seats, active agent configurations, memory workspace count, or number of client workspaces (for operators running the stack on behalf of their own clients).</w:t>
      </w:r>
    </w:p>
    <w:p>
      <w:pPr>
        <w:spacing w:before="200" w:after="60"/>
      </w:pPr>
      <w:r>
        <w:rPr>
          <w:rFonts w:ascii="Georgia" w:hAnsi="Georgia"/>
          <w:b/>
          <w:i w:val="0"/>
          <w:color w:val="2C2C2C"/>
          <w:sz w:val="21"/>
        </w:rPr>
        <w:t>Revenue Mix Target</w:t>
      </w:r>
    </w:p>
    <w:tbl>
      <w:tblPr>
        <w:tblStyle w:val="TableGrid"/>
        <w:tblW w:type="auto" w:w="0"/>
        <w:tblLook w:firstColumn="1" w:firstRow="1" w:lastColumn="0" w:lastRow="0" w:noHBand="0" w:noVBand="1" w:val="04A0"/>
      </w:tblPr>
      <w:tblGrid>
        <w:gridCol w:w="2266"/>
        <w:gridCol w:w="2266"/>
        <w:gridCol w:w="2266"/>
        <w:gridCol w:w="2266"/>
      </w:tblGrid>
      <w:tr>
        <w:tc>
          <w:tcPr>
            <w:tcW w:type="dxa" w:w="2592"/>
            <w:shd w:val="clear" w:color="auto" w:fill="1A1A2E"/>
          </w:tcPr>
          <w:p>
            <w:pPr>
              <w:spacing w:before="80" w:after="80"/>
              <w:jc w:val="left"/>
            </w:pPr>
            <w:r>
              <w:rPr>
                <w:rFonts w:ascii="Georgia" w:hAnsi="Georgia"/>
                <w:b/>
                <w:i w:val="0"/>
                <w:color w:val="FFFFFF"/>
                <w:sz w:val="18"/>
              </w:rPr>
              <w:t>Phase</w:t>
            </w:r>
          </w:p>
        </w:tc>
        <w:tc>
          <w:tcPr>
            <w:tcW w:type="dxa" w:w="2160"/>
            <w:shd w:val="clear" w:color="auto" w:fill="1A1A2E"/>
          </w:tcPr>
          <w:p>
            <w:pPr>
              <w:spacing w:before="80" w:after="80"/>
              <w:jc w:val="left"/>
            </w:pPr>
            <w:r>
              <w:rPr>
                <w:rFonts w:ascii="Georgia" w:hAnsi="Georgia"/>
                <w:b/>
                <w:i w:val="0"/>
                <w:color w:val="FFFFFF"/>
                <w:sz w:val="18"/>
              </w:rPr>
              <w:t>Timeline</w:t>
            </w:r>
          </w:p>
        </w:tc>
        <w:tc>
          <w:tcPr>
            <w:tcW w:type="dxa" w:w="2160"/>
            <w:shd w:val="clear" w:color="auto" w:fill="1A1A2E"/>
          </w:tcPr>
          <w:p>
            <w:pPr>
              <w:spacing w:before="80" w:after="80"/>
              <w:jc w:val="left"/>
            </w:pPr>
            <w:r>
              <w:rPr>
                <w:rFonts w:ascii="Georgia" w:hAnsi="Georgia"/>
                <w:b/>
                <w:i w:val="0"/>
                <w:color w:val="FFFFFF"/>
                <w:sz w:val="18"/>
              </w:rPr>
              <w:t>Services</w:t>
            </w:r>
          </w:p>
        </w:tc>
        <w:tc>
          <w:tcPr>
            <w:tcW w:type="dxa" w:w="2592"/>
            <w:shd w:val="clear" w:color="auto" w:fill="1A1A2E"/>
          </w:tcPr>
          <w:p>
            <w:pPr>
              <w:spacing w:before="80" w:after="80"/>
              <w:jc w:val="left"/>
            </w:pPr>
            <w:r>
              <w:rPr>
                <w:rFonts w:ascii="Georgia" w:hAnsi="Georgia"/>
                <w:b/>
                <w:i w:val="0"/>
                <w:color w:val="FFFFFF"/>
                <w:sz w:val="18"/>
              </w:rPr>
              <w:t>Recurring Software + Retainer</w:t>
            </w:r>
          </w:p>
        </w:tc>
      </w:tr>
      <w:tr>
        <w:tc>
          <w:tcPr>
            <w:tcW w:type="dxa" w:w="2592"/>
            <w:shd w:val="clear" w:color="auto" w:fill="F7F7FA"/>
          </w:tcPr>
          <w:p>
            <w:pPr>
              <w:spacing w:before="60" w:after="60"/>
            </w:pPr>
            <w:r>
              <w:rPr>
                <w:rFonts w:ascii="Georgia" w:hAnsi="Georgia"/>
                <w:b w:val="0"/>
                <w:i w:val="0"/>
                <w:color w:val="2C2C2C"/>
                <w:sz w:val="18"/>
              </w:rPr>
              <w:t>Phase 1 — Now</w:t>
            </w:r>
          </w:p>
        </w:tc>
        <w:tc>
          <w:tcPr>
            <w:tcW w:type="dxa" w:w="2160"/>
            <w:shd w:val="clear" w:color="auto" w:fill="F7F7FA"/>
          </w:tcPr>
          <w:p>
            <w:pPr>
              <w:spacing w:before="60" w:after="60"/>
            </w:pPr>
            <w:r>
              <w:rPr>
                <w:rFonts w:ascii="Georgia" w:hAnsi="Georgia"/>
                <w:b w:val="0"/>
                <w:i w:val="0"/>
                <w:color w:val="2C2C2C"/>
                <w:sz w:val="18"/>
              </w:rPr>
              <w:t>Current</w:t>
            </w:r>
          </w:p>
        </w:tc>
        <w:tc>
          <w:tcPr>
            <w:tcW w:type="dxa" w:w="2160"/>
            <w:shd w:val="clear" w:color="auto" w:fill="F7F7FA"/>
          </w:tcPr>
          <w:p>
            <w:pPr>
              <w:spacing w:before="60" w:after="60"/>
            </w:pPr>
            <w:r>
              <w:rPr>
                <w:rFonts w:ascii="Georgia" w:hAnsi="Georgia"/>
                <w:b w:val="0"/>
                <w:i w:val="0"/>
                <w:color w:val="2C2C2C"/>
                <w:sz w:val="18"/>
              </w:rPr>
              <w:t>80%</w:t>
            </w:r>
          </w:p>
        </w:tc>
        <w:tc>
          <w:tcPr>
            <w:tcW w:type="dxa" w:w="2592"/>
            <w:shd w:val="clear" w:color="auto" w:fill="F7F7FA"/>
          </w:tcPr>
          <w:p>
            <w:pPr>
              <w:spacing w:before="60" w:after="60"/>
            </w:pPr>
            <w:r>
              <w:rPr>
                <w:rFonts w:ascii="Georgia" w:hAnsi="Georgia"/>
                <w:b w:val="0"/>
                <w:i w:val="0"/>
                <w:color w:val="2C2C2C"/>
                <w:sz w:val="18"/>
              </w:rPr>
              <w:t>20%</w:t>
            </w:r>
          </w:p>
        </w:tc>
      </w:tr>
      <w:tr>
        <w:tc>
          <w:tcPr>
            <w:tcW w:type="dxa" w:w="2592"/>
            <w:shd w:val="clear" w:color="auto" w:fill="FFFFFF"/>
          </w:tcPr>
          <w:p>
            <w:pPr>
              <w:spacing w:before="60" w:after="60"/>
            </w:pPr>
            <w:r>
              <w:rPr>
                <w:rFonts w:ascii="Georgia" w:hAnsi="Georgia"/>
                <w:b w:val="0"/>
                <w:i w:val="0"/>
                <w:color w:val="2C2C2C"/>
                <w:sz w:val="18"/>
              </w:rPr>
              <w:t>Phase 2 — Growth</w:t>
            </w:r>
          </w:p>
        </w:tc>
        <w:tc>
          <w:tcPr>
            <w:tcW w:type="dxa" w:w="2160"/>
            <w:shd w:val="clear" w:color="auto" w:fill="FFFFFF"/>
          </w:tcPr>
          <w:p>
            <w:pPr>
              <w:spacing w:before="60" w:after="60"/>
            </w:pPr>
            <w:r>
              <w:rPr>
                <w:rFonts w:ascii="Georgia" w:hAnsi="Georgia"/>
                <w:b w:val="0"/>
                <w:i w:val="0"/>
                <w:color w:val="2C2C2C"/>
                <w:sz w:val="18"/>
              </w:rPr>
              <w:t>12–18 months</w:t>
            </w:r>
          </w:p>
        </w:tc>
        <w:tc>
          <w:tcPr>
            <w:tcW w:type="dxa" w:w="2160"/>
            <w:shd w:val="clear" w:color="auto" w:fill="FFFFFF"/>
          </w:tcPr>
          <w:p>
            <w:pPr>
              <w:spacing w:before="60" w:after="60"/>
            </w:pPr>
            <w:r>
              <w:rPr>
                <w:rFonts w:ascii="Georgia" w:hAnsi="Georgia"/>
                <w:b w:val="0"/>
                <w:i w:val="0"/>
                <w:color w:val="2C2C2C"/>
                <w:sz w:val="18"/>
              </w:rPr>
              <w:t>55%</w:t>
            </w:r>
          </w:p>
        </w:tc>
        <w:tc>
          <w:tcPr>
            <w:tcW w:type="dxa" w:w="2592"/>
            <w:shd w:val="clear" w:color="auto" w:fill="FFFFFF"/>
          </w:tcPr>
          <w:p>
            <w:pPr>
              <w:spacing w:before="60" w:after="60"/>
            </w:pPr>
            <w:r>
              <w:rPr>
                <w:rFonts w:ascii="Georgia" w:hAnsi="Georgia"/>
                <w:b w:val="0"/>
                <w:i w:val="0"/>
                <w:color w:val="2C2C2C"/>
                <w:sz w:val="18"/>
              </w:rPr>
              <w:t>45%</w:t>
            </w:r>
          </w:p>
        </w:tc>
      </w:tr>
      <w:tr>
        <w:tc>
          <w:tcPr>
            <w:tcW w:type="dxa" w:w="2592"/>
            <w:shd w:val="clear" w:color="auto" w:fill="F7F7FA"/>
          </w:tcPr>
          <w:p>
            <w:pPr>
              <w:spacing w:before="60" w:after="60"/>
            </w:pPr>
            <w:r>
              <w:rPr>
                <w:rFonts w:ascii="Georgia" w:hAnsi="Georgia"/>
                <w:b w:val="0"/>
                <w:i w:val="0"/>
                <w:color w:val="2C2C2C"/>
                <w:sz w:val="18"/>
              </w:rPr>
              <w:t>Phase 3 — Scale</w:t>
            </w:r>
          </w:p>
        </w:tc>
        <w:tc>
          <w:tcPr>
            <w:tcW w:type="dxa" w:w="2160"/>
            <w:shd w:val="clear" w:color="auto" w:fill="F7F7FA"/>
          </w:tcPr>
          <w:p>
            <w:pPr>
              <w:spacing w:before="60" w:after="60"/>
            </w:pPr>
            <w:r>
              <w:rPr>
                <w:rFonts w:ascii="Georgia" w:hAnsi="Georgia"/>
                <w:b w:val="0"/>
                <w:i w:val="0"/>
                <w:color w:val="2C2C2C"/>
                <w:sz w:val="18"/>
              </w:rPr>
              <w:t>24–36 months</w:t>
            </w:r>
          </w:p>
        </w:tc>
        <w:tc>
          <w:tcPr>
            <w:tcW w:type="dxa" w:w="2160"/>
            <w:shd w:val="clear" w:color="auto" w:fill="F7F7FA"/>
          </w:tcPr>
          <w:p>
            <w:pPr>
              <w:spacing w:before="60" w:after="60"/>
            </w:pPr>
            <w:r>
              <w:rPr>
                <w:rFonts w:ascii="Georgia" w:hAnsi="Georgia"/>
                <w:b w:val="0"/>
                <w:i w:val="0"/>
                <w:color w:val="2C2C2C"/>
                <w:sz w:val="18"/>
              </w:rPr>
              <w:t>30%</w:t>
            </w:r>
          </w:p>
        </w:tc>
        <w:tc>
          <w:tcPr>
            <w:tcW w:type="dxa" w:w="2592"/>
            <w:shd w:val="clear" w:color="auto" w:fill="F7F7FA"/>
          </w:tcPr>
          <w:p>
            <w:pPr>
              <w:spacing w:before="60" w:after="60"/>
            </w:pPr>
            <w:r>
              <w:rPr>
                <w:rFonts w:ascii="Georgia" w:hAnsi="Georgia"/>
                <w:b w:val="0"/>
                <w:i w:val="0"/>
                <w:color w:val="2C2C2C"/>
                <w:sz w:val="18"/>
              </w:rPr>
              <w:t>70%</w:t>
            </w:r>
          </w:p>
        </w:tc>
      </w:tr>
    </w:tbl>
    <w:p/>
    <w:p>
      <w:pPr>
        <w:spacing w:before="40" w:after="80" w:line="280" w:lineRule="exact"/>
      </w:pPr>
      <w:r>
        <w:rPr>
          <w:rFonts w:ascii="Georgia" w:hAnsi="Georgia"/>
          <w:b w:val="0"/>
          <w:i w:val="0"/>
          <w:color w:val="2C2C2C"/>
          <w:sz w:val="20"/>
        </w:rPr>
        <w:t>The goal is not to eliminate services. Services feed the roadmap and make enterprise adoption work. The goal is to make services higher-margin advisory work over time while growing recurring revenue as the primary business driver.</w:t>
      </w:r>
    </w:p>
    <w:p>
      <w:pPr>
        <w:spacing w:before="360" w:after="120"/>
      </w:pPr>
      <w:r>
        <w:rPr>
          <w:rFonts w:ascii="Georgia" w:hAnsi="Georgia"/>
          <w:b/>
          <w:i w:val="0"/>
          <w:color w:val="D0D0D8"/>
          <w:sz w:val="26"/>
        </w:rPr>
        <w:t xml:space="preserve">08  </w:t>
      </w:r>
      <w:r>
        <w:rPr>
          <w:rFonts w:ascii="Georgia" w:hAnsi="Georgia"/>
          <w:b/>
          <w:i w:val="0"/>
          <w:color w:val="1A1A2E"/>
          <w:sz w:val="26"/>
        </w:rPr>
        <w:t>SAUDI ARABIA &amp; THE MIDDLE EAST</w:t>
      </w:r>
    </w:p>
    <w:p>
      <w:pPr>
        <w:pBdr>
          <w:bottom w:val="single" w:sz="4" w:space="1" w:color="D0D0D8"/>
        </w:pBdr>
        <w:spacing w:before="40" w:after="40"/>
      </w:pPr>
    </w:p>
    <w:p/>
    <w:tbl>
      <w:tblPr>
        <w:tblStyle w:val="TableGrid"/>
        <w:tblW w:type="auto" w:w="0"/>
        <w:tblLook w:firstColumn="1" w:firstRow="1" w:lastColumn="0" w:lastRow="0" w:noHBand="0" w:noVBand="1" w:val="04A0"/>
      </w:tblPr>
      <w:tblGrid>
        <w:gridCol w:w="9066"/>
      </w:tblGrid>
      <w:tr>
        <w:tc>
          <w:tcPr>
            <w:tcW w:type="dxa" w:w="9066"/>
            <w:shd w:val="clear" w:color="auto" w:fill="ECECF4"/>
          </w:tcPr>
          <w:p>
            <w:pPr>
              <w:spacing w:before="120" w:after="120"/>
              <w:ind w:left="160"/>
            </w:pPr>
            <w:r>
              <w:rPr>
                <w:rFonts w:ascii="Georgia" w:hAnsi="Georgia"/>
                <w:b w:val="0"/>
                <w:i/>
                <w:color w:val="1A1A2E"/>
                <w:sz w:val="20"/>
              </w:rPr>
              <w:t>Saudi Arabia is the primary market entry point — not a secondary expansion. The forward deployment model, on-prem capability, and high-complexity enterprise environment make it the strongest near-term strategic fit.</w:t>
            </w:r>
          </w:p>
        </w:tc>
      </w:tr>
    </w:tbl>
    <w:p/>
    <w:p>
      <w:pPr>
        <w:spacing w:before="200" w:after="60"/>
      </w:pPr>
      <w:r>
        <w:rPr>
          <w:rFonts w:ascii="Georgia" w:hAnsi="Georgia"/>
          <w:b/>
          <w:i w:val="0"/>
          <w:color w:val="2C2C2C"/>
          <w:sz w:val="21"/>
        </w:rPr>
        <w:t>Why Saudi First</w:t>
      </w:r>
    </w:p>
    <w:p>
      <w:pPr>
        <w:pStyle w:val="ListBullet"/>
        <w:spacing w:before="20" w:after="40" w:line="260" w:lineRule="exact"/>
        <w:ind w:left="320" w:hanging="200"/>
      </w:pPr>
      <w:r>
        <w:rPr>
          <w:rFonts w:ascii="Georgia" w:hAnsi="Georgia"/>
          <w:b w:val="0"/>
          <w:i w:val="0"/>
          <w:color w:val="2C2C2C"/>
          <w:sz w:val="20"/>
        </w:rPr>
        <w:t>Vision 2030 has created the largest enterprise transformation budget in the region, with explicit mandates across logistics, real estate, healthcare, and government-adjacent operations.</w:t>
      </w:r>
    </w:p>
    <w:p>
      <w:pPr>
        <w:pStyle w:val="ListBullet"/>
        <w:spacing w:before="20" w:after="40" w:line="260" w:lineRule="exact"/>
        <w:ind w:left="320" w:hanging="200"/>
      </w:pPr>
      <w:r>
        <w:rPr>
          <w:rFonts w:ascii="Georgia" w:hAnsi="Georgia"/>
          <w:b w:val="0"/>
          <w:i w:val="0"/>
          <w:color w:val="2C2C2C"/>
          <w:sz w:val="20"/>
        </w:rPr>
        <w:t>The forward deployment model is precisely how high-trust enterprise work is won and delivered in Saudi. Relationship quality and operational seriousness matter more than software novelty.</w:t>
      </w:r>
    </w:p>
    <w:p>
      <w:pPr>
        <w:pStyle w:val="ListBullet"/>
        <w:spacing w:before="20" w:after="40" w:line="260" w:lineRule="exact"/>
        <w:ind w:left="320" w:hanging="200"/>
      </w:pPr>
      <w:r>
        <w:rPr>
          <w:rFonts w:ascii="Georgia" w:hAnsi="Georgia"/>
          <w:b w:val="0"/>
          <w:i w:val="0"/>
          <w:color w:val="2C2C2C"/>
          <w:sz w:val="20"/>
        </w:rPr>
        <w:t>On-prem and sovereign deployment options — enabled by the infrastructure partnership — remove a major commercial blocker for regulated sectors and government-adjacent accounts.</w:t>
      </w:r>
    </w:p>
    <w:p>
      <w:pPr>
        <w:pStyle w:val="ListBullet"/>
        <w:spacing w:before="20" w:after="40" w:line="260" w:lineRule="exact"/>
        <w:ind w:left="320" w:hanging="200"/>
      </w:pPr>
      <w:r>
        <w:rPr>
          <w:rFonts w:ascii="Georgia" w:hAnsi="Georgia"/>
          <w:b w:val="0"/>
          <w:i w:val="0"/>
          <w:color w:val="2C2C2C"/>
          <w:sz w:val="20"/>
        </w:rPr>
        <w:t>Large deal sizes, long contract terms, and deep expansion opportunities within single accounts match our delivery model and economics.</w:t>
      </w:r>
    </w:p>
    <w:p>
      <w:pPr>
        <w:spacing w:before="200" w:after="60"/>
      </w:pPr>
      <w:r>
        <w:rPr>
          <w:rFonts w:ascii="Georgia" w:hAnsi="Georgia"/>
          <w:b/>
          <w:i w:val="0"/>
          <w:color w:val="2C2C2C"/>
          <w:sz w:val="21"/>
        </w:rPr>
        <w:t>Regional Approach</w:t>
      </w:r>
    </w:p>
    <w:p>
      <w:pPr>
        <w:spacing w:before="40" w:after="80" w:line="280" w:lineRule="exact"/>
      </w:pPr>
      <w:r>
        <w:rPr>
          <w:rFonts w:ascii="Georgia" w:hAnsi="Georgia"/>
          <w:b w:val="0"/>
          <w:i w:val="0"/>
          <w:color w:val="2C2C2C"/>
          <w:sz w:val="20"/>
        </w:rPr>
        <w:t>Saudi is the strategic market. UAE serves as the regional commercial infrastructure — the base for relationships, partner networks, events, and internationally oriented pilots. References and credibility built in UAE accelerate Saudi enterprise conversations, but Saudi is not a later-stage reward. It is a concurrent strategic priority.</w:t>
      </w:r>
    </w:p>
    <w:p>
      <w:pPr>
        <w:spacing w:before="200" w:after="60"/>
      </w:pPr>
      <w:r>
        <w:rPr>
          <w:rFonts w:ascii="Georgia" w:hAnsi="Georgia"/>
          <w:b/>
          <w:i w:val="0"/>
          <w:color w:val="2C2C2C"/>
          <w:sz w:val="21"/>
        </w:rPr>
        <w:t>Priority Sectors</w:t>
      </w:r>
    </w:p>
    <w:tbl>
      <w:tblPr>
        <w:tblStyle w:val="TableGrid"/>
        <w:tblW w:type="auto" w:w="0"/>
        <w:tblLook w:firstColumn="1" w:firstRow="1" w:lastColumn="0" w:lastRow="0" w:noHBand="0" w:noVBand="1" w:val="04A0"/>
      </w:tblPr>
      <w:tblGrid>
        <w:gridCol w:w="4533"/>
        <w:gridCol w:w="4533"/>
      </w:tblGrid>
      <w:tr>
        <w:tc>
          <w:tcPr>
            <w:tcW w:type="dxa" w:w="3456"/>
            <w:shd w:val="clear" w:color="auto" w:fill="1A1A2E"/>
          </w:tcPr>
          <w:p>
            <w:pPr>
              <w:spacing w:before="80" w:after="80"/>
              <w:jc w:val="left"/>
            </w:pPr>
            <w:r>
              <w:rPr>
                <w:rFonts w:ascii="Georgia" w:hAnsi="Georgia"/>
                <w:b/>
                <w:i w:val="0"/>
                <w:color w:val="FFFFFF"/>
                <w:sz w:val="18"/>
              </w:rPr>
              <w:t>Sector</w:t>
            </w:r>
          </w:p>
        </w:tc>
        <w:tc>
          <w:tcPr>
            <w:tcW w:type="dxa" w:w="6048"/>
            <w:shd w:val="clear" w:color="auto" w:fill="1A1A2E"/>
          </w:tcPr>
          <w:p>
            <w:pPr>
              <w:spacing w:before="80" w:after="80"/>
              <w:jc w:val="left"/>
            </w:pPr>
            <w:r>
              <w:rPr>
                <w:rFonts w:ascii="Georgia" w:hAnsi="Georgia"/>
                <w:b/>
                <w:i w:val="0"/>
                <w:color w:val="FFFFFF"/>
                <w:sz w:val="18"/>
              </w:rPr>
              <w:t>Rationale</w:t>
            </w:r>
          </w:p>
        </w:tc>
      </w:tr>
      <w:tr>
        <w:tc>
          <w:tcPr>
            <w:tcW w:type="dxa" w:w="3456"/>
            <w:shd w:val="clear" w:color="auto" w:fill="F7F7FA"/>
          </w:tcPr>
          <w:p>
            <w:pPr>
              <w:spacing w:before="60" w:after="60"/>
            </w:pPr>
            <w:r>
              <w:rPr>
                <w:rFonts w:ascii="Georgia" w:hAnsi="Georgia"/>
                <w:b w:val="0"/>
                <w:i w:val="0"/>
                <w:color w:val="2C2C2C"/>
                <w:sz w:val="18"/>
              </w:rPr>
              <w:t>Logistics &amp; supply chain</w:t>
            </w:r>
          </w:p>
        </w:tc>
        <w:tc>
          <w:tcPr>
            <w:tcW w:type="dxa" w:w="6048"/>
            <w:shd w:val="clear" w:color="auto" w:fill="F7F7FA"/>
          </w:tcPr>
          <w:p>
            <w:pPr>
              <w:spacing w:before="60" w:after="60"/>
            </w:pPr>
            <w:r>
              <w:rPr>
                <w:rFonts w:ascii="Georgia" w:hAnsi="Georgia"/>
                <w:b w:val="0"/>
                <w:i w:val="0"/>
                <w:color w:val="2C2C2C"/>
                <w:sz w:val="18"/>
              </w:rPr>
              <w:t>Multi-team, multi-week coordination workflows at scale; high cost of drift</w:t>
            </w:r>
          </w:p>
        </w:tc>
      </w:tr>
      <w:tr>
        <w:tc>
          <w:tcPr>
            <w:tcW w:type="dxa" w:w="3456"/>
            <w:shd w:val="clear" w:color="auto" w:fill="FFFFFF"/>
          </w:tcPr>
          <w:p>
            <w:pPr>
              <w:spacing w:before="60" w:after="60"/>
            </w:pPr>
            <w:r>
              <w:rPr>
                <w:rFonts w:ascii="Georgia" w:hAnsi="Georgia"/>
                <w:b w:val="0"/>
                <w:i w:val="0"/>
                <w:color w:val="2C2C2C"/>
                <w:sz w:val="18"/>
              </w:rPr>
              <w:t>Real estate &amp; construction</w:t>
            </w:r>
          </w:p>
        </w:tc>
        <w:tc>
          <w:tcPr>
            <w:tcW w:type="dxa" w:w="6048"/>
            <w:shd w:val="clear" w:color="auto" w:fill="FFFFFF"/>
          </w:tcPr>
          <w:p>
            <w:pPr>
              <w:spacing w:before="60" w:after="60"/>
            </w:pPr>
            <w:r>
              <w:rPr>
                <w:rFonts w:ascii="Georgia" w:hAnsi="Georgia"/>
                <w:b w:val="0"/>
                <w:i w:val="0"/>
                <w:color w:val="2C2C2C"/>
                <w:sz w:val="18"/>
              </w:rPr>
              <w:t>Delivery programs with complex stakeholder chains and milestone dependencies</w:t>
            </w:r>
          </w:p>
        </w:tc>
      </w:tr>
      <w:tr>
        <w:tc>
          <w:tcPr>
            <w:tcW w:type="dxa" w:w="3456"/>
            <w:shd w:val="clear" w:color="auto" w:fill="F7F7FA"/>
          </w:tcPr>
          <w:p>
            <w:pPr>
              <w:spacing w:before="60" w:after="60"/>
            </w:pPr>
            <w:r>
              <w:rPr>
                <w:rFonts w:ascii="Georgia" w:hAnsi="Georgia"/>
                <w:b w:val="0"/>
                <w:i w:val="0"/>
                <w:color w:val="2C2C2C"/>
                <w:sz w:val="18"/>
              </w:rPr>
              <w:t>Healthcare operations</w:t>
            </w:r>
          </w:p>
        </w:tc>
        <w:tc>
          <w:tcPr>
            <w:tcW w:type="dxa" w:w="6048"/>
            <w:shd w:val="clear" w:color="auto" w:fill="F7F7FA"/>
          </w:tcPr>
          <w:p>
            <w:pPr>
              <w:spacing w:before="60" w:after="60"/>
            </w:pPr>
            <w:r>
              <w:rPr>
                <w:rFonts w:ascii="Georgia" w:hAnsi="Georgia"/>
                <w:b w:val="0"/>
                <w:i w:val="0"/>
                <w:color w:val="2C2C2C"/>
                <w:sz w:val="18"/>
              </w:rPr>
              <w:t>Non-clinical workflow coordination; strong data residency requirements</w:t>
            </w:r>
          </w:p>
        </w:tc>
      </w:tr>
      <w:tr>
        <w:tc>
          <w:tcPr>
            <w:tcW w:type="dxa" w:w="3456"/>
            <w:shd w:val="clear" w:color="auto" w:fill="FFFFFF"/>
          </w:tcPr>
          <w:p>
            <w:pPr>
              <w:spacing w:before="60" w:after="60"/>
            </w:pPr>
            <w:r>
              <w:rPr>
                <w:rFonts w:ascii="Georgia" w:hAnsi="Georgia"/>
                <w:b w:val="0"/>
                <w:i w:val="0"/>
                <w:color w:val="2C2C2C"/>
                <w:sz w:val="18"/>
              </w:rPr>
              <w:t>Government-adjacent programs</w:t>
            </w:r>
          </w:p>
        </w:tc>
        <w:tc>
          <w:tcPr>
            <w:tcW w:type="dxa" w:w="6048"/>
            <w:shd w:val="clear" w:color="auto" w:fill="FFFFFF"/>
          </w:tcPr>
          <w:p>
            <w:pPr>
              <w:spacing w:before="60" w:after="60"/>
            </w:pPr>
            <w:r>
              <w:rPr>
                <w:rFonts w:ascii="Georgia" w:hAnsi="Georgia"/>
                <w:b w:val="0"/>
                <w:i w:val="0"/>
                <w:color w:val="2C2C2C"/>
                <w:sz w:val="18"/>
              </w:rPr>
              <w:t>Large transformation mandates; on-prem deployment a prerequisite</w:t>
            </w:r>
          </w:p>
        </w:tc>
      </w:tr>
      <w:tr>
        <w:tc>
          <w:tcPr>
            <w:tcW w:type="dxa" w:w="3456"/>
            <w:shd w:val="clear" w:color="auto" w:fill="F7F7FA"/>
          </w:tcPr>
          <w:p>
            <w:pPr>
              <w:spacing w:before="60" w:after="60"/>
            </w:pPr>
            <w:r>
              <w:rPr>
                <w:rFonts w:ascii="Georgia" w:hAnsi="Georgia"/>
                <w:b w:val="0"/>
                <w:i w:val="0"/>
                <w:color w:val="2C2C2C"/>
                <w:sz w:val="18"/>
              </w:rPr>
              <w:t>Large family business groups</w:t>
            </w:r>
          </w:p>
        </w:tc>
        <w:tc>
          <w:tcPr>
            <w:tcW w:type="dxa" w:w="6048"/>
            <w:shd w:val="clear" w:color="auto" w:fill="F7F7FA"/>
          </w:tcPr>
          <w:p>
            <w:pPr>
              <w:spacing w:before="60" w:after="60"/>
            </w:pPr>
            <w:r>
              <w:rPr>
                <w:rFonts w:ascii="Georgia" w:hAnsi="Georgia"/>
                <w:b w:val="0"/>
                <w:i w:val="0"/>
                <w:color w:val="2C2C2C"/>
                <w:sz w:val="18"/>
              </w:rPr>
              <w:t>Operational complexity across multiple lines of business; high ACV potential</w:t>
            </w:r>
          </w:p>
        </w:tc>
      </w:tr>
      <w:tr>
        <w:tc>
          <w:tcPr>
            <w:tcW w:type="dxa" w:w="3456"/>
            <w:shd w:val="clear" w:color="auto" w:fill="FFFFFF"/>
          </w:tcPr>
          <w:p>
            <w:pPr>
              <w:spacing w:before="60" w:after="60"/>
            </w:pPr>
            <w:r>
              <w:rPr>
                <w:rFonts w:ascii="Georgia" w:hAnsi="Georgia"/>
                <w:b w:val="0"/>
                <w:i w:val="0"/>
                <w:color w:val="2C2C2C"/>
                <w:sz w:val="18"/>
              </w:rPr>
              <w:t>Enterprise shared services</w:t>
            </w:r>
          </w:p>
        </w:tc>
        <w:tc>
          <w:tcPr>
            <w:tcW w:type="dxa" w:w="6048"/>
            <w:shd w:val="clear" w:color="auto" w:fill="FFFFFF"/>
          </w:tcPr>
          <w:p>
            <w:pPr>
              <w:spacing w:before="60" w:after="60"/>
            </w:pPr>
            <w:r>
              <w:rPr>
                <w:rFonts w:ascii="Georgia" w:hAnsi="Georgia"/>
                <w:b w:val="0"/>
                <w:i w:val="0"/>
                <w:color w:val="2C2C2C"/>
                <w:sz w:val="18"/>
              </w:rPr>
              <w:t>Coordination overhead at scale; strong memory and workflow fit</w:t>
            </w:r>
          </w:p>
        </w:tc>
      </w:tr>
    </w:tbl>
    <w:p/>
    <w:p>
      <w:pPr>
        <w:spacing w:before="200" w:after="60"/>
      </w:pPr>
      <w:r>
        <w:rPr>
          <w:rFonts w:ascii="Georgia" w:hAnsi="Georgia"/>
          <w:b/>
          <w:i w:val="0"/>
          <w:color w:val="2C2C2C"/>
          <w:sz w:val="21"/>
        </w:rPr>
        <w:t>Operational Requirements for the Region</w:t>
      </w:r>
    </w:p>
    <w:p>
      <w:pPr>
        <w:pStyle w:val="ListBullet"/>
        <w:spacing w:before="20" w:after="40" w:line="260" w:lineRule="exact"/>
        <w:ind w:left="320" w:hanging="200"/>
      </w:pPr>
      <w:r>
        <w:rPr>
          <w:rFonts w:ascii="Georgia" w:hAnsi="Georgia"/>
          <w:b w:val="0"/>
          <w:i w:val="0"/>
          <w:color w:val="2C2C2C"/>
          <w:sz w:val="20"/>
        </w:rPr>
        <w:t>Arabic executive materials — one-pager, proposal template, and executive summary at minimum.</w:t>
      </w:r>
    </w:p>
    <w:p>
      <w:pPr>
        <w:pStyle w:val="ListBullet"/>
        <w:spacing w:before="20" w:after="40" w:line="260" w:lineRule="exact"/>
        <w:ind w:left="320" w:hanging="200"/>
      </w:pPr>
      <w:r>
        <w:rPr>
          <w:rFonts w:ascii="Georgia" w:hAnsi="Georgia"/>
          <w:b w:val="0"/>
          <w:i w:val="0"/>
          <w:color w:val="2C2C2C"/>
          <w:sz w:val="20"/>
        </w:rPr>
        <w:t>Clear data residency and on-prem options available before major procurement conversations.</w:t>
      </w:r>
    </w:p>
    <w:p>
      <w:pPr>
        <w:pStyle w:val="ListBullet"/>
        <w:spacing w:before="20" w:after="40" w:line="260" w:lineRule="exact"/>
        <w:ind w:left="320" w:hanging="200"/>
      </w:pPr>
      <w:r>
        <w:rPr>
          <w:rFonts w:ascii="Georgia" w:hAnsi="Georgia"/>
          <w:b w:val="0"/>
          <w:i w:val="0"/>
          <w:color w:val="2C2C2C"/>
          <w:sz w:val="20"/>
        </w:rPr>
        <w:t>Local legal entity or credible in-country partner before regulated-sector or public-sector work.</w:t>
      </w:r>
    </w:p>
    <w:p>
      <w:pPr>
        <w:pStyle w:val="ListBullet"/>
        <w:spacing w:before="20" w:after="40" w:line="260" w:lineRule="exact"/>
        <w:ind w:left="320" w:hanging="200"/>
      </w:pPr>
      <w:r>
        <w:rPr>
          <w:rFonts w:ascii="Georgia" w:hAnsi="Georgia"/>
          <w:b w:val="0"/>
          <w:i w:val="0"/>
          <w:color w:val="2C2C2C"/>
          <w:sz w:val="20"/>
        </w:rPr>
        <w:t>After-sales responsiveness model that matches regional expectations — face-to-face presence still carries disproportionate weight.</w:t>
      </w:r>
    </w:p>
    <w:p>
      <w:pPr>
        <w:spacing w:before="360" w:after="120"/>
      </w:pPr>
      <w:r>
        <w:rPr>
          <w:rFonts w:ascii="Georgia" w:hAnsi="Georgia"/>
          <w:b/>
          <w:i w:val="0"/>
          <w:color w:val="D0D0D8"/>
          <w:sz w:val="26"/>
        </w:rPr>
        <w:t xml:space="preserve">09  </w:t>
      </w:r>
      <w:r>
        <w:rPr>
          <w:rFonts w:ascii="Georgia" w:hAnsi="Georgia"/>
          <w:b/>
          <w:i w:val="0"/>
          <w:color w:val="1A1A2E"/>
          <w:sz w:val="26"/>
        </w:rPr>
        <w:t>WHAT WE DO NEXT</w:t>
      </w:r>
    </w:p>
    <w:p>
      <w:pPr>
        <w:pBdr>
          <w:bottom w:val="single" w:sz="4" w:space="1" w:color="D0D0D8"/>
        </w:pBdr>
        <w:spacing w:before="40" w:after="40"/>
      </w:pPr>
    </w:p>
    <w:p>
      <w:pPr>
        <w:spacing w:before="200" w:after="60"/>
      </w:pPr>
      <w:r>
        <w:rPr>
          <w:rFonts w:ascii="Georgia" w:hAnsi="Georgia"/>
          <w:b/>
          <w:i w:val="0"/>
          <w:color w:val="2C2C2C"/>
          <w:sz w:val="21"/>
        </w:rPr>
        <w:t>Immediate — Next 30 Days</w:t>
      </w:r>
    </w:p>
    <w:p>
      <w:pPr>
        <w:pStyle w:val="ListBullet"/>
        <w:spacing w:before="20" w:after="40" w:line="260" w:lineRule="exact"/>
        <w:ind w:left="320" w:hanging="200"/>
      </w:pPr>
      <w:r>
        <w:rPr>
          <w:rFonts w:ascii="Georgia" w:hAnsi="Georgia"/>
          <w:b w:val="0"/>
          <w:i w:val="0"/>
          <w:color w:val="2C2C2C"/>
          <w:sz w:val="20"/>
        </w:rPr>
        <w:t>Finalize company identity: one positioning statement and one-page pitch as a software company, not a consultancy.</w:t>
      </w:r>
    </w:p>
    <w:p>
      <w:pPr>
        <w:pStyle w:val="ListBullet"/>
        <w:spacing w:before="20" w:after="40" w:line="260" w:lineRule="exact"/>
        <w:ind w:left="320" w:hanging="200"/>
      </w:pPr>
      <w:r>
        <w:rPr>
          <w:rFonts w:ascii="Georgia" w:hAnsi="Georgia"/>
          <w:b w:val="0"/>
          <w:i w:val="0"/>
          <w:color w:val="2C2C2C"/>
          <w:sz w:val="20"/>
        </w:rPr>
        <w:t>Package the Diagnostic Sprint as a replicable, fixed-fee offer with a standard output template.</w:t>
      </w:r>
    </w:p>
    <w:p>
      <w:pPr>
        <w:pStyle w:val="ListBullet"/>
        <w:spacing w:before="20" w:after="40" w:line="260" w:lineRule="exact"/>
        <w:ind w:left="320" w:hanging="200"/>
      </w:pPr>
      <w:r>
        <w:rPr>
          <w:rFonts w:ascii="Georgia" w:hAnsi="Georgia"/>
          <w:b w:val="0"/>
          <w:i w:val="0"/>
          <w:color w:val="2C2C2C"/>
          <w:sz w:val="20"/>
        </w:rPr>
        <w:t>Define the first productized module: Institutional Memory Engine — scope, build plan, pricing.</w:t>
      </w:r>
    </w:p>
    <w:p>
      <w:pPr>
        <w:pStyle w:val="ListBullet"/>
        <w:spacing w:before="20" w:after="40" w:line="260" w:lineRule="exact"/>
        <w:ind w:left="320" w:hanging="200"/>
      </w:pPr>
      <w:r>
        <w:rPr>
          <w:rFonts w:ascii="Georgia" w:hAnsi="Georgia"/>
          <w:b w:val="0"/>
          <w:i w:val="0"/>
          <w:color w:val="2C2C2C"/>
          <w:sz w:val="20"/>
        </w:rPr>
        <w:t>Identify 3–5 priority Saudi target accounts or sectors and begin relationship mapping.</w:t>
      </w:r>
    </w:p>
    <w:p>
      <w:pPr>
        <w:pStyle w:val="ListBullet"/>
        <w:spacing w:before="20" w:after="40" w:line="260" w:lineRule="exact"/>
        <w:ind w:left="320" w:hanging="200"/>
      </w:pPr>
      <w:r>
        <w:rPr>
          <w:rFonts w:ascii="Georgia" w:hAnsi="Georgia"/>
          <w:b w:val="0"/>
          <w:i w:val="0"/>
          <w:color w:val="2C2C2C"/>
          <w:sz w:val="20"/>
        </w:rPr>
        <w:t>Finalize terms and architecture implications of the infrastructure partnership.</w:t>
      </w:r>
    </w:p>
    <w:p>
      <w:pPr>
        <w:spacing w:before="200" w:after="60"/>
      </w:pPr>
      <w:r>
        <w:rPr>
          <w:rFonts w:ascii="Georgia" w:hAnsi="Georgia"/>
          <w:b/>
          <w:i w:val="0"/>
          <w:color w:val="2C2C2C"/>
          <w:sz w:val="21"/>
        </w:rPr>
        <w:t>Near-Term — 30–60 Days</w:t>
      </w:r>
    </w:p>
    <w:p>
      <w:pPr>
        <w:pStyle w:val="ListBullet"/>
        <w:spacing w:before="20" w:after="40" w:line="260" w:lineRule="exact"/>
        <w:ind w:left="320" w:hanging="200"/>
      </w:pPr>
      <w:r>
        <w:rPr>
          <w:rFonts w:ascii="Georgia" w:hAnsi="Georgia"/>
          <w:b w:val="0"/>
          <w:i w:val="0"/>
          <w:color w:val="2C2C2C"/>
          <w:sz w:val="20"/>
        </w:rPr>
        <w:t>Build or configure the Memory Engine as an internal tool first, then client-deployable.</w:t>
      </w:r>
    </w:p>
    <w:p>
      <w:pPr>
        <w:pStyle w:val="ListBullet"/>
        <w:spacing w:before="20" w:after="40" w:line="260" w:lineRule="exact"/>
        <w:ind w:left="320" w:hanging="200"/>
      </w:pPr>
      <w:r>
        <w:rPr>
          <w:rFonts w:ascii="Georgia" w:hAnsi="Georgia"/>
          <w:b w:val="0"/>
          <w:i w:val="0"/>
          <w:color w:val="2C2C2C"/>
          <w:sz w:val="20"/>
        </w:rPr>
        <w:t>Create standard forward-deployed implementation playbook.</w:t>
      </w:r>
    </w:p>
    <w:p>
      <w:pPr>
        <w:pStyle w:val="ListBullet"/>
        <w:spacing w:before="20" w:after="40" w:line="260" w:lineRule="exact"/>
        <w:ind w:left="320" w:hanging="200"/>
      </w:pPr>
      <w:r>
        <w:rPr>
          <w:rFonts w:ascii="Georgia" w:hAnsi="Georgia"/>
          <w:b w:val="0"/>
          <w:i w:val="0"/>
          <w:color w:val="2C2C2C"/>
          <w:sz w:val="20"/>
        </w:rPr>
        <w:t>Develop sector-specific materials for two priority Saudi verticals.</w:t>
      </w:r>
    </w:p>
    <w:p>
      <w:pPr>
        <w:pStyle w:val="ListBullet"/>
        <w:spacing w:before="20" w:after="40" w:line="260" w:lineRule="exact"/>
        <w:ind w:left="320" w:hanging="200"/>
      </w:pPr>
      <w:r>
        <w:rPr>
          <w:rFonts w:ascii="Georgia" w:hAnsi="Georgia"/>
          <w:b w:val="0"/>
          <w:i w:val="0"/>
          <w:color w:val="2C2C2C"/>
          <w:sz w:val="20"/>
        </w:rPr>
        <w:t>Produce Arabic executive summary and one-pager.</w:t>
      </w:r>
    </w:p>
    <w:p>
      <w:pPr>
        <w:pStyle w:val="ListBullet"/>
        <w:spacing w:before="20" w:after="40" w:line="260" w:lineRule="exact"/>
        <w:ind w:left="320" w:hanging="200"/>
      </w:pPr>
      <w:r>
        <w:rPr>
          <w:rFonts w:ascii="Georgia" w:hAnsi="Georgia"/>
          <w:b w:val="0"/>
          <w:i w:val="0"/>
          <w:color w:val="2C2C2C"/>
          <w:sz w:val="20"/>
        </w:rPr>
        <w:t>Test one direct outbound motion to Saudi enterprise targets.</w:t>
      </w:r>
    </w:p>
    <w:p>
      <w:pPr>
        <w:spacing w:before="200" w:after="60"/>
      </w:pPr>
      <w:r>
        <w:rPr>
          <w:rFonts w:ascii="Georgia" w:hAnsi="Georgia"/>
          <w:b/>
          <w:i w:val="0"/>
          <w:color w:val="2C2C2C"/>
          <w:sz w:val="21"/>
        </w:rPr>
        <w:t>Medium-Term — 60–90 Days</w:t>
      </w:r>
    </w:p>
    <w:p>
      <w:pPr>
        <w:pStyle w:val="ListBullet"/>
        <w:spacing w:before="20" w:after="40" w:line="260" w:lineRule="exact"/>
        <w:ind w:left="320" w:hanging="200"/>
      </w:pPr>
      <w:r>
        <w:rPr>
          <w:rFonts w:ascii="Georgia" w:hAnsi="Georgia"/>
          <w:b w:val="0"/>
          <w:i w:val="0"/>
          <w:color w:val="2C2C2C"/>
          <w:sz w:val="20"/>
        </w:rPr>
        <w:t>Convert the first repeated delivery pattern into a product module with a configuration system.</w:t>
      </w:r>
    </w:p>
    <w:p>
      <w:pPr>
        <w:pStyle w:val="ListBullet"/>
        <w:spacing w:before="20" w:after="40" w:line="260" w:lineRule="exact"/>
        <w:ind w:left="320" w:hanging="200"/>
      </w:pPr>
      <w:r>
        <w:rPr>
          <w:rFonts w:ascii="Georgia" w:hAnsi="Georgia"/>
          <w:b w:val="0"/>
          <w:i w:val="0"/>
          <w:color w:val="2C2C2C"/>
          <w:sz w:val="20"/>
        </w:rPr>
        <w:t>Publish one strong case study with measurable outcome metrics.</w:t>
      </w:r>
    </w:p>
    <w:p>
      <w:pPr>
        <w:pStyle w:val="ListBullet"/>
        <w:spacing w:before="20" w:after="40" w:line="260" w:lineRule="exact"/>
        <w:ind w:left="320" w:hanging="200"/>
      </w:pPr>
      <w:r>
        <w:rPr>
          <w:rFonts w:ascii="Georgia" w:hAnsi="Georgia"/>
          <w:b w:val="0"/>
          <w:i w:val="0"/>
          <w:color w:val="2C2C2C"/>
          <w:sz w:val="20"/>
        </w:rPr>
        <w:t>Identify Saudi partner candidates — systems integrator or local operator with procurement access.</w:t>
      </w:r>
    </w:p>
    <w:p>
      <w:pPr>
        <w:pStyle w:val="ListBullet"/>
        <w:spacing w:before="20" w:after="40" w:line="260" w:lineRule="exact"/>
        <w:ind w:left="320" w:hanging="200"/>
      </w:pPr>
      <w:r>
        <w:rPr>
          <w:rFonts w:ascii="Georgia" w:hAnsi="Georgia"/>
          <w:b w:val="0"/>
          <w:i w:val="0"/>
          <w:color w:val="2C2C2C"/>
          <w:sz w:val="20"/>
        </w:rPr>
        <w:t>Prepare data residency and compliance documentation for regional deals.</w:t>
      </w:r>
    </w:p>
    <w:p>
      <w:pPr>
        <w:pStyle w:val="ListBullet"/>
        <w:spacing w:before="20" w:after="40" w:line="260" w:lineRule="exact"/>
        <w:ind w:left="320" w:hanging="200"/>
      </w:pPr>
      <w:r>
        <w:rPr>
          <w:rFonts w:ascii="Georgia" w:hAnsi="Georgia"/>
          <w:b w:val="0"/>
          <w:i w:val="0"/>
          <w:color w:val="2C2C2C"/>
          <w:sz w:val="20"/>
        </w:rPr>
        <w:t>Begin Long-Horizon Workflow Agent buildout.</w:t>
      </w:r>
    </w:p>
    <w:p>
      <w:pPr>
        <w:spacing w:before="360" w:after="120"/>
      </w:pPr>
      <w:r>
        <w:rPr>
          <w:rFonts w:ascii="Georgia" w:hAnsi="Georgia"/>
          <w:b/>
          <w:i w:val="0"/>
          <w:color w:val="D0D0D8"/>
          <w:sz w:val="26"/>
        </w:rPr>
        <w:t xml:space="preserve">10  </w:t>
      </w:r>
      <w:r>
        <w:rPr>
          <w:rFonts w:ascii="Georgia" w:hAnsi="Georgia"/>
          <w:b/>
          <w:i w:val="0"/>
          <w:color w:val="1A1A2E"/>
          <w:sz w:val="26"/>
        </w:rPr>
        <w:t>KEY RISKS</w:t>
      </w:r>
    </w:p>
    <w:p>
      <w:pPr>
        <w:pBdr>
          <w:bottom w:val="single" w:sz="4" w:space="1" w:color="D0D0D8"/>
        </w:pBdr>
        <w:spacing w:before="40" w:after="40"/>
      </w:pPr>
    </w:p>
    <w:tbl>
      <w:tblPr>
        <w:tblStyle w:val="TableGrid"/>
        <w:tblW w:type="auto" w:w="0"/>
        <w:tblLook w:firstColumn="1" w:firstRow="1" w:lastColumn="0" w:lastRow="0" w:noHBand="0" w:noVBand="1" w:val="04A0"/>
      </w:tblPr>
      <w:tblGrid>
        <w:gridCol w:w="4533"/>
        <w:gridCol w:w="4533"/>
      </w:tblGrid>
      <w:tr>
        <w:tc>
          <w:tcPr>
            <w:tcW w:type="dxa" w:w="4032"/>
            <w:shd w:val="clear" w:color="auto" w:fill="1A1A2E"/>
          </w:tcPr>
          <w:p>
            <w:pPr>
              <w:spacing w:before="80" w:after="80"/>
              <w:jc w:val="left"/>
            </w:pPr>
            <w:r>
              <w:rPr>
                <w:rFonts w:ascii="Georgia" w:hAnsi="Georgia"/>
                <w:b/>
                <w:i w:val="0"/>
                <w:color w:val="FFFFFF"/>
                <w:sz w:val="18"/>
              </w:rPr>
              <w:t>Risk</w:t>
            </w:r>
          </w:p>
        </w:tc>
        <w:tc>
          <w:tcPr>
            <w:tcW w:type="dxa" w:w="5472"/>
            <w:shd w:val="clear" w:color="auto" w:fill="1A1A2E"/>
          </w:tcPr>
          <w:p>
            <w:pPr>
              <w:spacing w:before="80" w:after="80"/>
              <w:jc w:val="left"/>
            </w:pPr>
            <w:r>
              <w:rPr>
                <w:rFonts w:ascii="Georgia" w:hAnsi="Georgia"/>
                <w:b/>
                <w:i w:val="0"/>
                <w:color w:val="FFFFFF"/>
                <w:sz w:val="18"/>
              </w:rPr>
              <w:t>Mitigation</w:t>
            </w:r>
          </w:p>
        </w:tc>
      </w:tr>
      <w:tr>
        <w:tc>
          <w:tcPr>
            <w:tcW w:type="dxa" w:w="4032"/>
            <w:shd w:val="clear" w:color="auto" w:fill="F7F7FA"/>
          </w:tcPr>
          <w:p>
            <w:pPr>
              <w:spacing w:before="60" w:after="60"/>
            </w:pPr>
            <w:r>
              <w:rPr>
                <w:rFonts w:ascii="Georgia" w:hAnsi="Georgia"/>
                <w:b w:val="0"/>
                <w:i w:val="0"/>
                <w:color w:val="2C2C2C"/>
                <w:sz w:val="18"/>
              </w:rPr>
              <w:t>Becoming a custom consultancy by default</w:t>
            </w:r>
          </w:p>
        </w:tc>
        <w:tc>
          <w:tcPr>
            <w:tcW w:type="dxa" w:w="5472"/>
            <w:shd w:val="clear" w:color="auto" w:fill="F7F7FA"/>
          </w:tcPr>
          <w:p>
            <w:pPr>
              <w:spacing w:before="60" w:after="60"/>
            </w:pPr>
            <w:r>
              <w:rPr>
                <w:rFonts w:ascii="Georgia" w:hAnsi="Georgia"/>
                <w:b w:val="0"/>
                <w:i w:val="0"/>
                <w:color w:val="2C2C2C"/>
                <w:sz w:val="18"/>
              </w:rPr>
              <w:t>Productization review after every engagement; roadmap maintained independently of client requests</w:t>
            </w:r>
          </w:p>
        </w:tc>
      </w:tr>
      <w:tr>
        <w:tc>
          <w:tcPr>
            <w:tcW w:type="dxa" w:w="4032"/>
            <w:shd w:val="clear" w:color="auto" w:fill="FFFFFF"/>
          </w:tcPr>
          <w:p>
            <w:pPr>
              <w:spacing w:before="60" w:after="60"/>
            </w:pPr>
            <w:r>
              <w:rPr>
                <w:rFonts w:ascii="Georgia" w:hAnsi="Georgia"/>
                <w:b w:val="0"/>
                <w:i w:val="0"/>
                <w:color w:val="2C2C2C"/>
                <w:sz w:val="18"/>
              </w:rPr>
              <w:t>Building product before repeatability is proven</w:t>
            </w:r>
          </w:p>
        </w:tc>
        <w:tc>
          <w:tcPr>
            <w:tcW w:type="dxa" w:w="5472"/>
            <w:shd w:val="clear" w:color="auto" w:fill="FFFFFF"/>
          </w:tcPr>
          <w:p>
            <w:pPr>
              <w:spacing w:before="60" w:after="60"/>
            </w:pPr>
            <w:r>
              <w:rPr>
                <w:rFonts w:ascii="Georgia" w:hAnsi="Georgia"/>
                <w:b w:val="0"/>
                <w:i w:val="0"/>
                <w:color w:val="2C2C2C"/>
                <w:sz w:val="18"/>
              </w:rPr>
              <w:t>Rule: only productize what has been rebuilt across three or more engagements</w:t>
            </w:r>
          </w:p>
        </w:tc>
      </w:tr>
      <w:tr>
        <w:tc>
          <w:tcPr>
            <w:tcW w:type="dxa" w:w="4032"/>
            <w:shd w:val="clear" w:color="auto" w:fill="F7F7FA"/>
          </w:tcPr>
          <w:p>
            <w:pPr>
              <w:spacing w:before="60" w:after="60"/>
            </w:pPr>
            <w:r>
              <w:rPr>
                <w:rFonts w:ascii="Georgia" w:hAnsi="Georgia"/>
                <w:b w:val="0"/>
                <w:i w:val="0"/>
                <w:color w:val="2C2C2C"/>
                <w:sz w:val="18"/>
              </w:rPr>
              <w:t>Weak differentiation from generic AI tools</w:t>
            </w:r>
          </w:p>
        </w:tc>
        <w:tc>
          <w:tcPr>
            <w:tcW w:type="dxa" w:w="5472"/>
            <w:shd w:val="clear" w:color="auto" w:fill="F7F7FA"/>
          </w:tcPr>
          <w:p>
            <w:pPr>
              <w:spacing w:before="60" w:after="60"/>
            </w:pPr>
            <w:r>
              <w:rPr>
                <w:rFonts w:ascii="Georgia" w:hAnsi="Georgia"/>
                <w:b w:val="0"/>
                <w:i w:val="0"/>
                <w:color w:val="2C2C2C"/>
                <w:sz w:val="18"/>
              </w:rPr>
              <w:t>Compete on reliability, memory, and governance — not on model capability or AI novelty</w:t>
            </w:r>
          </w:p>
        </w:tc>
      </w:tr>
      <w:tr>
        <w:tc>
          <w:tcPr>
            <w:tcW w:type="dxa" w:w="4032"/>
            <w:shd w:val="clear" w:color="auto" w:fill="FFFFFF"/>
          </w:tcPr>
          <w:p>
            <w:pPr>
              <w:spacing w:before="60" w:after="60"/>
            </w:pPr>
            <w:r>
              <w:rPr>
                <w:rFonts w:ascii="Georgia" w:hAnsi="Georgia"/>
                <w:b w:val="0"/>
                <w:i w:val="0"/>
                <w:color w:val="2C2C2C"/>
                <w:sz w:val="18"/>
              </w:rPr>
              <w:t>Forward deployment becoming unprofitable</w:t>
            </w:r>
          </w:p>
        </w:tc>
        <w:tc>
          <w:tcPr>
            <w:tcW w:type="dxa" w:w="5472"/>
            <w:shd w:val="clear" w:color="auto" w:fill="FFFFFF"/>
          </w:tcPr>
          <w:p>
            <w:pPr>
              <w:spacing w:before="60" w:after="60"/>
            </w:pPr>
            <w:r>
              <w:rPr>
                <w:rFonts w:ascii="Georgia" w:hAnsi="Georgia"/>
                <w:b w:val="0"/>
                <w:i w:val="0"/>
                <w:color w:val="2C2C2C"/>
                <w:sz w:val="18"/>
              </w:rPr>
              <w:t>Diagnostic and pilot work priced to fully cover cost; no subsidizing of product discovery</w:t>
            </w:r>
          </w:p>
        </w:tc>
      </w:tr>
      <w:tr>
        <w:tc>
          <w:tcPr>
            <w:tcW w:type="dxa" w:w="4032"/>
            <w:shd w:val="clear" w:color="auto" w:fill="F7F7FA"/>
          </w:tcPr>
          <w:p>
            <w:pPr>
              <w:spacing w:before="60" w:after="60"/>
            </w:pPr>
            <w:r>
              <w:rPr>
                <w:rFonts w:ascii="Georgia" w:hAnsi="Georgia"/>
                <w:b w:val="0"/>
                <w:i w:val="0"/>
                <w:color w:val="2C2C2C"/>
                <w:sz w:val="18"/>
              </w:rPr>
              <w:t>Infrastructure partnership delay</w:t>
            </w:r>
          </w:p>
        </w:tc>
        <w:tc>
          <w:tcPr>
            <w:tcW w:type="dxa" w:w="5472"/>
            <w:shd w:val="clear" w:color="auto" w:fill="F7F7FA"/>
          </w:tcPr>
          <w:p>
            <w:pPr>
              <w:spacing w:before="60" w:after="60"/>
            </w:pPr>
            <w:r>
              <w:rPr>
                <w:rFonts w:ascii="Georgia" w:hAnsi="Georgia"/>
                <w:b w:val="0"/>
                <w:i w:val="0"/>
                <w:color w:val="2C2C2C"/>
                <w:sz w:val="18"/>
              </w:rPr>
              <w:t>Architecture designed for on-prem from day one; partnership accelerates but does not gate the product</w:t>
            </w:r>
          </w:p>
        </w:tc>
      </w:tr>
      <w:tr>
        <w:tc>
          <w:tcPr>
            <w:tcW w:type="dxa" w:w="4032"/>
            <w:shd w:val="clear" w:color="auto" w:fill="FFFFFF"/>
          </w:tcPr>
          <w:p>
            <w:pPr>
              <w:spacing w:before="60" w:after="60"/>
            </w:pPr>
            <w:r>
              <w:rPr>
                <w:rFonts w:ascii="Georgia" w:hAnsi="Georgia"/>
                <w:b w:val="0"/>
                <w:i w:val="0"/>
                <w:color w:val="2C2C2C"/>
                <w:sz w:val="18"/>
              </w:rPr>
              <w:t>Saudi market longer than expected sales cycles</w:t>
            </w:r>
          </w:p>
        </w:tc>
        <w:tc>
          <w:tcPr>
            <w:tcW w:type="dxa" w:w="5472"/>
            <w:shd w:val="clear" w:color="auto" w:fill="FFFFFF"/>
          </w:tcPr>
          <w:p>
            <w:pPr>
              <w:spacing w:before="60" w:after="60"/>
            </w:pPr>
            <w:r>
              <w:rPr>
                <w:rFonts w:ascii="Georgia" w:hAnsi="Georgia"/>
                <w:b w:val="0"/>
                <w:i w:val="0"/>
                <w:color w:val="2C2C2C"/>
                <w:sz w:val="18"/>
              </w:rPr>
              <w:t>UAE used for faster relationship-building and references; Saudi pursued in parallel, not in sequence</w:t>
            </w:r>
          </w:p>
        </w:tc>
      </w:tr>
    </w:tbl>
    <w:p/>
    <w:p>
      <w:pPr>
        <w:spacing w:before="360" w:after="120"/>
      </w:pPr>
      <w:r>
        <w:rPr>
          <w:rFonts w:ascii="Georgia" w:hAnsi="Georgia"/>
          <w:b/>
          <w:i w:val="0"/>
          <w:color w:val="1A1A2E"/>
          <w:sz w:val="26"/>
        </w:rPr>
        <w:t>SUMMARY</w:t>
      </w:r>
    </w:p>
    <w:p>
      <w:pPr>
        <w:pBdr>
          <w:bottom w:val="single" w:sz="4" w:space="1" w:color="D0D0D8"/>
        </w:pBdr>
        <w:spacing w:before="40" w:after="40"/>
      </w:pPr>
    </w:p>
    <w:p/>
    <w:tbl>
      <w:tblPr>
        <w:tblStyle w:val="TableGrid"/>
        <w:tblW w:type="auto" w:w="0"/>
        <w:tblLook w:firstColumn="1" w:firstRow="1" w:lastColumn="0" w:lastRow="0" w:noHBand="0" w:noVBand="1" w:val="04A0"/>
      </w:tblPr>
      <w:tblGrid>
        <w:gridCol w:w="9066"/>
      </w:tblGrid>
      <w:tr>
        <w:tc>
          <w:tcPr>
            <w:tcW w:type="dxa" w:w="9066"/>
            <w:shd w:val="clear" w:color="auto" w:fill="ECECF4"/>
          </w:tcPr>
          <w:p>
            <w:pPr>
              <w:spacing w:before="120" w:after="120"/>
              <w:ind w:left="160"/>
            </w:pPr>
            <w:r>
              <w:rPr>
                <w:rFonts w:ascii="Georgia" w:hAnsi="Georgia"/>
                <w:b w:val="0"/>
                <w:i/>
                <w:color w:val="1A1A2E"/>
                <w:sz w:val="20"/>
              </w:rPr>
              <w:t>We build the operating system that makes enterprise AI work. Three layers — memory, workflow, control — deployed by forward teams, sold on outcomes, and anchored in Saudi Arabia as the first major market. The infrastructure partnership enables on-prem deployment from day one, removing the largest technical objection in the region.</w:t>
            </w:r>
          </w:p>
        </w:tc>
      </w:tr>
    </w:tbl>
    <w:p/>
    <w:p>
      <w:pPr>
        <w:spacing w:before="40" w:after="80" w:line="280" w:lineRule="exact"/>
      </w:pPr>
      <w:r>
        <w:rPr>
          <w:rFonts w:ascii="Georgia" w:hAnsi="Georgia"/>
          <w:b w:val="0"/>
          <w:i w:val="0"/>
          <w:color w:val="2C2C2C"/>
          <w:sz w:val="20"/>
        </w:rPr>
      </w:r>
    </w:p>
    <w:p>
      <w:pPr>
        <w:pBdr>
          <w:bottom w:val="single" w:sz="4" w:space="1" w:color="D0D0D8"/>
        </w:pBdr>
        <w:spacing w:before="40" w:after="40"/>
      </w:pPr>
    </w:p>
    <w:p>
      <w:pPr>
        <w:spacing w:before="120" w:after="0"/>
        <w:jc w:val="right"/>
      </w:pPr>
      <w:r>
        <w:rPr>
          <w:rFonts w:ascii="Georgia" w:hAnsi="Georgia"/>
          <w:b w:val="0"/>
          <w:i/>
          <w:color w:val="4A4A6A"/>
          <w:sz w:val="16"/>
        </w:rPr>
        <w:t>Hermes  ·  Confidential  ·  March 2026</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