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study evaluating a delayed fractional dose of RTS,S?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This proof-of concept study (Malaria-071)</w:t>
      </w:r>
      <w:r>
        <w:rPr>
          <w:rStyle w:val="DefaultParagraphFont"/>
          <w:noProof/>
          <w:vertAlign w:val="superscript"/>
        </w:rPr>
        <w:t xml:space="preserve">(a) </w:t>
      </w:r>
      <w:r>
        <w:rPr>
          <w:rStyle w:val="DefaultParagraphFont"/>
          <w:noProof/>
        </w:rPr>
        <w:t>aims to evaluate an increased capacity of RTS,S/AS01 to protect naïve adults against a sporozoite challenge when administered as an alternative dose/schedule (third dose is a 1/5</w:t>
      </w:r>
      <w:r>
        <w:rPr>
          <w:rStyle w:val="DefaultParagraphFont"/>
          <w:noProof/>
          <w:vertAlign w:val="superscript"/>
        </w:rPr>
        <w:t>th</w:t>
      </w:r>
      <w:r>
        <w:rPr>
          <w:rStyle w:val="DefaultParagraphFont"/>
          <w:noProof/>
        </w:rPr>
        <w:t xml:space="preserve"> of the standard dose and given at month 7) as compared to the standard dose and schedule (months 0, 1 and 2). A previous study</w:t>
      </w:r>
      <w:r>
        <w:rPr>
          <w:rStyle w:val="DefaultParagraphFont"/>
          <w:noProof/>
          <w:vertAlign w:val="superscript"/>
        </w:rPr>
        <w:t>(b)</w:t>
      </w:r>
      <w:r>
        <w:rPr>
          <w:rStyle w:val="DefaultParagraphFont"/>
          <w:noProof/>
        </w:rPr>
        <w:t xml:space="preserve"> had previously indicated a potential for this concept using RTS,S with another adjuvant system, AS02. Results are expected in 2014.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ClinicalTrials.gov - NCT01857869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Stoute J. et al. NEJM 1997; 336: 86-9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