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is the vaccine candidate ChAd63 ME-TRAP/MVA ME-TRAP and RTS,S/AS01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This is a pre-erythrocytic vaccine approach combining RTS,S/AS01 with a prime-boost approach targeting </w:t>
      </w:r>
      <w:r>
        <w:rPr>
          <w:rStyle w:val="DefaultParagraphFont"/>
          <w:i/>
          <w:iCs/>
          <w:noProof/>
        </w:rPr>
        <w:t>P. falciparum</w:t>
      </w:r>
      <w:r>
        <w:rPr>
          <w:rStyle w:val="DefaultParagraphFont"/>
          <w:noProof/>
        </w:rPr>
        <w:t>. The prime-boost approach developed by University of Oxford and Okairos uses a simian adenoviral vector (ChAd63) and the Modified Vaccinia Ankara vector (MVA) both encoding the highly conserved malarial antigen TRAP fused to a multi-epitope (ME) string containing epitopes from several malaria antigens. This approach has shown to induce high-level T cell responses and partial efficacy</w:t>
      </w:r>
      <w:r>
        <w:rPr>
          <w:rStyle w:val="DefaultParagraphFont"/>
          <w:noProof/>
          <w:vertAlign w:val="superscript"/>
        </w:rPr>
        <w:t>(a)</w:t>
      </w:r>
      <w:r>
        <w:rPr>
          <w:rStyle w:val="DefaultParagraphFont"/>
          <w:noProof/>
        </w:rPr>
        <w:t>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A proof-of concept clinical study (Malaria-077/Vac-055)</w:t>
      </w:r>
      <w:r>
        <w:rPr>
          <w:rStyle w:val="DefaultParagraphFont"/>
          <w:noProof/>
          <w:vertAlign w:val="superscript"/>
        </w:rPr>
        <w:t>(b)</w:t>
      </w:r>
      <w:r>
        <w:rPr>
          <w:rStyle w:val="DefaultParagraphFont"/>
          <w:noProof/>
        </w:rPr>
        <w:t xml:space="preserve"> is ongoing to evaluate whether this combination could increase the protection against sporozoite challenge of naïve adults as compared to RTS,S/AS01. Results are expected in 2014.</w:t>
      </w:r>
    </w:p>
    <w:p w:rsidR="004F6B2B" w:rsidP="004F6B2B">
      <w:pPr>
        <w:pStyle w:val="References"/>
        <w:numPr>
          <w:ilvl w:val="0"/>
          <w:numId w:val="3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Ogwang, C. et al, PLoSONE, 2013; DOI: 10.1371/journal.pone.0057726</w:t>
      </w:r>
    </w:p>
    <w:p w:rsidR="004F6B2B" w:rsidP="004F6B2B">
      <w:pPr>
        <w:pStyle w:val="References"/>
        <w:numPr>
          <w:ilvl w:val="0"/>
          <w:numId w:val="3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ClinicalTrials.gov - NCT01883609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multilevel"/>
    <w:tmpl w:val="7CD251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