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What is the malaria vaccine candidate Ad35.CS.01 x RTS,S and how is it different from RTS,S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In this collaborative study</w:t>
      </w:r>
      <w:r>
        <w:rPr>
          <w:rStyle w:val="DefaultParagraphFont"/>
          <w:noProof/>
          <w:vertAlign w:val="superscript"/>
        </w:rPr>
        <w:t>(a)</w:t>
      </w:r>
      <w:r>
        <w:rPr>
          <w:rStyle w:val="DefaultParagraphFont"/>
          <w:noProof/>
        </w:rPr>
        <w:t>, a prime-boost approach i.e., a single dose of Crucell’s Ad35.CS.01 malaria candidate vaccine, followed by two doses of RTS,S/AS01 was compared to three doses of the RTS,S/AS01 candidate vaccine alone. The Ad35.CS.01 is a viral vector, Adenovirus 35, encoding the CS protein which is also present in RTS,S.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Results of an interim analysis</w:t>
      </w:r>
      <w:r>
        <w:rPr>
          <w:rStyle w:val="DefaultParagraphFont"/>
          <w:noProof/>
          <w:vertAlign w:val="superscript"/>
        </w:rPr>
        <w:t>(b)</w:t>
      </w:r>
      <w:r>
        <w:rPr>
          <w:rStyle w:val="DefaultParagraphFont"/>
          <w:noProof/>
        </w:rPr>
        <w:t xml:space="preserve"> showed that the Ad35.CS.01-RTS,S/AS01 combination failed the study objective to increase by at least 50% the vaccine efficacy provided by RTS,S/AS01 alone. This vaccine combination is no longer pursued.</w:t>
      </w:r>
    </w:p>
    <w:p w:rsidR="004F6B2B" w:rsidP="004F6B2B">
      <w:pPr>
        <w:pStyle w:val="References"/>
        <w:numPr>
          <w:ilvl w:val="0"/>
          <w:numId w:val="3"/>
        </w:numPr>
        <w:ind w:left="720" w:hanging="220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clinicaltrials.gov  NCT01366534</w:t>
      </w:r>
    </w:p>
    <w:p w:rsidR="004F6B2B" w:rsidP="004F6B2B">
      <w:pPr>
        <w:pStyle w:val="References"/>
        <w:numPr>
          <w:ilvl w:val="0"/>
          <w:numId w:val="3"/>
        </w:numPr>
        <w:ind w:left="720" w:hanging="211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Ockenhouse, C. et al. LB-166, November 13, 2012, 61st annual meeting of the American Society for Tropical Medicine and Hygiene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25138"/>
    <w:multiLevelType w:val="multilevel"/>
    <w:tmpl w:val="7CD251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