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RTS,S?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RTS,S is a pre-erythrocytic malaria vaccine candidate. It was the first malaria vaccine candidate to demonstrate in clinical trials that it could help protect young children and infants in malaria-endemic areas of sub-Saharan Africa against infection and clinical disease</w:t>
      </w:r>
      <w:r>
        <w:rPr>
          <w:rStyle w:val="DefaultParagraphFont"/>
          <w:noProof/>
          <w:vertAlign w:val="superscript"/>
        </w:rPr>
        <w:t>(a,b)</w:t>
      </w:r>
      <w:r>
        <w:rPr>
          <w:rStyle w:val="DefaultParagraphFont"/>
          <w:noProof/>
        </w:rPr>
        <w:t xml:space="preserve"> caused by </w:t>
      </w:r>
      <w:r>
        <w:rPr>
          <w:rStyle w:val="DefaultParagraphFont"/>
          <w:i/>
          <w:iCs/>
          <w:noProof/>
        </w:rPr>
        <w:t>Plasmodium falciparum</w:t>
      </w:r>
      <w:r>
        <w:rPr>
          <w:rStyle w:val="DefaultParagraphFont"/>
          <w:noProof/>
        </w:rPr>
        <w:t>, the most deadly species of the malaria parasite.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Alonso PL, et al. Lancet 2004; 364: 1411-20.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Aponte JJ, et al. Lancet 2007; 370: 1543-51.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