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How does RTS,S work?</w:t>
      </w:r>
    </w:p>
    <w:p w:rsidR="004F6B2B" w:rsidP="004F6B2B">
      <w:pPr>
        <w:pStyle w:val="QuestionAns"/>
        <w:rPr>
          <w:rStyle w:val="DefaultParagraphFont"/>
          <w:noProof/>
          <w:sz w:val="20"/>
          <w:szCs w:val="20"/>
        </w:rPr>
      </w:pPr>
      <w:r>
        <w:rPr>
          <w:rStyle w:val="DefaultParagraphFont"/>
          <w:noProof/>
        </w:rPr>
        <w:t xml:space="preserve">The RTS,S malaria vaccine candidate aims to trigger the immune system to defend against the </w:t>
      </w:r>
      <w:r>
        <w:rPr>
          <w:rStyle w:val="DefaultParagraphFont"/>
          <w:i/>
          <w:iCs/>
          <w:noProof/>
        </w:rPr>
        <w:t>P. falciparum</w:t>
      </w:r>
      <w:r>
        <w:rPr>
          <w:rStyle w:val="DefaultParagraphFont"/>
          <w:noProof/>
        </w:rPr>
        <w:t xml:space="preserve"> malaria parasite when it first enters the human host’s bloodstream and/or when the parasite infects liver cells. This is the pre-erythrocytic part of the parasites lifecycle and explains why RTS,S is commonly referred to as a pre-erythrocytic vaccine. RTS,S is designed to prevent the parasite from infecting, maturing and multiplying in the liver, and from re-entering the bloodstream and invading red blood cells, at which point the infected person would begin to show symptoms of the disease</w:t>
      </w:r>
      <w:r>
        <w:rPr>
          <w:rStyle w:val="DefaultParagraphFont"/>
          <w:noProof/>
          <w:vertAlign w:val="superscript"/>
        </w:rPr>
        <w:t>(a)</w:t>
      </w:r>
      <w:r>
        <w:rPr>
          <w:rStyle w:val="DefaultParagraphFont"/>
          <w:noProof/>
        </w:rPr>
        <w:t>.</w:t>
      </w:r>
    </w:p>
    <w:p w:rsidR="004F6B2B" w:rsidP="004F6B2B">
      <w:pPr>
        <w:pStyle w:val="QuestionAns"/>
        <w:rPr>
          <w:rStyle w:val="DefaultParagraphFont"/>
          <w:noProof/>
          <w:sz w:val="20"/>
          <w:szCs w:val="20"/>
        </w:rPr>
      </w:pPr>
      <w:r>
        <w:rPr>
          <w:rStyle w:val="DefaultParagraphFont"/>
          <w:noProof/>
        </w:rPr>
        <w:t>Although no correlate of protection has currently been established, both humoral and cellular immune responses are considered to contribute to protection against </w:t>
      </w:r>
      <w:r>
        <w:rPr>
          <w:rStyle w:val="DefaultParagraphFont"/>
          <w:i/>
          <w:iCs/>
          <w:noProof/>
        </w:rPr>
        <w:t>P. falciparum. </w:t>
      </w:r>
      <w:r>
        <w:rPr>
          <w:rStyle w:val="DefaultParagraphFont"/>
          <w:noProof/>
          <w:vertAlign w:val="superscript"/>
        </w:rPr>
        <w:t>(b) </w:t>
      </w:r>
      <w:r>
        <w:rPr>
          <w:rStyle w:val="DefaultParagraphFont"/>
          <w:noProof/>
        </w:rPr>
        <w:t>To stimulate an immune response to the malaria parasite, a portion of the circumsporozoite protein (the surface protein that helps the malaria parasite invade human liver cells) was fused with the hepatitis B surface protein (HBsAg). This ‘RTS’ fusion protein is expressed together with ‘free’ HBsAg (’S’) in yeast cells (</w:t>
      </w:r>
      <w:r>
        <w:rPr>
          <w:rStyle w:val="DefaultParagraphFont"/>
          <w:i/>
          <w:iCs/>
          <w:noProof/>
        </w:rPr>
        <w:t>Saccharomyces cerevisiae</w:t>
      </w:r>
      <w:r>
        <w:rPr>
          <w:rStyle w:val="DefaultParagraphFont"/>
          <w:noProof/>
        </w:rPr>
        <w:t>), allowing spontaneous formation of ‘RTS,S’ particles known to enhance immune responses to the antigen. The addition of one of GSK’s proprietary Adjuvant Systems (AS01) aims to further improve the immune response to the antigen and thereby induce protection</w:t>
      </w:r>
      <w:r>
        <w:rPr>
          <w:rStyle w:val="DefaultParagraphFont"/>
          <w:noProof/>
          <w:vertAlign w:val="superscript"/>
        </w:rPr>
        <w:t>(c,d)</w:t>
      </w:r>
      <w:r>
        <w:rPr>
          <w:rStyle w:val="DefaultParagraphFont"/>
          <w:noProof/>
        </w:rPr>
        <w:t>.</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 xml:space="preserve">Gordon et al. </w:t>
      </w:r>
      <w:r>
        <w:rPr>
          <w:rStyle w:val="DefaultParagraphFont"/>
          <w:noProof/>
        </w:rPr>
        <w:t>J Infect Dis</w:t>
      </w:r>
      <w:r>
        <w:rPr>
          <w:rStyle w:val="DefaultParagraphFont"/>
          <w:i/>
          <w:iCs/>
          <w:noProof/>
        </w:rPr>
        <w:t xml:space="preserve"> 1995; 171:1576-85</w:t>
      </w:r>
    </w:p>
    <w:p w:rsidR="004F6B2B" w:rsidP="004F6B2B">
      <w:pPr>
        <w:pStyle w:val="References"/>
        <w:numPr>
          <w:ilvl w:val="0"/>
          <w:numId w:val="3"/>
        </w:numPr>
        <w:ind w:left="720" w:hanging="211"/>
        <w:rPr>
          <w:rStyle w:val="DefaultParagraphFont"/>
          <w:noProof/>
          <w:sz w:val="16"/>
          <w:szCs w:val="16"/>
        </w:rPr>
      </w:pPr>
      <w:r>
        <w:rPr>
          <w:rStyle w:val="DefaultParagraphFont"/>
          <w:i/>
          <w:iCs/>
          <w:noProof/>
        </w:rPr>
        <w:t>White et al 2013 PLoS ONE 8(4): e61395</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Cohen et al. Ann Pharm Françaises 2010;68:370-9</w:t>
      </w:r>
    </w:p>
    <w:p w:rsidR="004F6B2B" w:rsidP="004F6B2B">
      <w:pPr>
        <w:pStyle w:val="References"/>
        <w:numPr>
          <w:ilvl w:val="0"/>
          <w:numId w:val="3"/>
        </w:numPr>
        <w:ind w:left="720" w:hanging="211"/>
        <w:rPr>
          <w:rStyle w:val="DefaultParagraphFont"/>
          <w:noProof/>
          <w:sz w:val="16"/>
          <w:szCs w:val="16"/>
        </w:rPr>
      </w:pPr>
      <w:r>
        <w:rPr>
          <w:rStyle w:val="DefaultParagraphFont"/>
          <w:i/>
          <w:iCs/>
          <w:noProof/>
        </w:rPr>
        <w:t>Cohen et al. in Parasitology, Springer-Verlag Berlin Heidelberg 2011, Chapter 7</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multilevel"/>
    <w:tmpl w:val="7CD2513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