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was the dosing regimen employed in the Phase III trial?</w:t>
      </w:r>
    </w:p>
    <w:p w:rsidR="004F6B2B" w:rsidP="004F6B2B">
      <w:pPr>
        <w:pStyle w:val="QuestionAns"/>
        <w:rPr>
          <w:rStyle w:val="DefaultParagraphFont"/>
          <w:noProof/>
          <w:sz w:val="20"/>
          <w:szCs w:val="20"/>
        </w:rPr>
      </w:pPr>
      <w:r>
        <w:rPr>
          <w:rStyle w:val="DefaultParagraphFont"/>
          <w:noProof/>
        </w:rPr>
        <w:t>Between March 2009 and January 2011, 15,460 children were randomly assigned to one of three study groups, with the first children receiving their first study dose in May 2009. One group received three doses of RTS,S administered at one month intervals and received a booster dose 18 months after dose 3. A second group received three doses of RTS,S and a booster dose of a comparator vaccine instead of RTS,S. The third group received three doses of a comparator vaccine and also received a comparator vaccine for the booster dose.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