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Are you sure that your disease surveillance did not miss a lot of malaria cases?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The attack rate for malaria reported in the trial is an average of 1 clinical attack per year per child, over the different participating sites. This varied considerably from less than 0.1 episode per year to more than 5 episodes per year in high transmission areas.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the phase III efficacy trial, over the first 20 months of follow-up, approximately 180,000 outpatient sick visits happened, of which almost 100,000 were for febrile illnesses. According to the study protocol</w:t>
      </w:r>
      <w:r>
        <w:rPr>
          <w:rStyle w:val="DefaultParagraphFont"/>
          <w:noProof/>
          <w:vertAlign w:val="superscript"/>
        </w:rPr>
        <w:t>(a,b)</w:t>
      </w:r>
      <w:r>
        <w:rPr>
          <w:rStyle w:val="DefaultParagraphFont"/>
          <w:noProof/>
        </w:rPr>
        <w:t>, a blood test was done to confirm or eliminate the diagnosis of malaria in all children presenting with a febrile illness. Malaria was found in 16-17% of the febrile cases, but the high rate of clinic visits indicates a very robust surveillance system for malaria in this trial, making it highly unlikely that malaria cases would have been missed.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Leach A, et al. Malaria Journal 2011; 10: 224.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 xml:space="preserve">Lievens M. et al. </w:t>
      </w:r>
      <w:r>
        <w:rPr>
          <w:rStyle w:val="DefaultParagraphFont"/>
          <w:i/>
          <w:iCs/>
          <w:noProof/>
        </w:rPr>
        <w:t>Malaria Journal 2011; 10: 222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