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2.0.0 -->
  <w:body>
    <w:p w:rsidR="00FE6CBD" w:rsidP="00DC0702">
      <w:pPr>
        <w:pStyle w:val="Heading4"/>
      </w:pPr>
      <w:r>
        <w:t>Disclaimer</w:t>
      </w:r>
    </w:p>
    <w:p w:rsidR="00990F45" w:rsidP="00990F45">
      <w:r>
        <w:t>The primary focus of this resource is to be an internal training tool for RTS</w:t>
      </w:r>
      <w:r>
        <w:t>,S</w:t>
      </w:r>
      <w:r>
        <w:t xml:space="preserve"> malaria vaccine candidate, containing related data in the format of a Q&amp;A for Medical Affairs personnel. Information presented here is not for external distribution.</w:t>
      </w:r>
    </w:p>
    <w:p w:rsidR="00990F45" w:rsidP="00990F45">
      <w:r>
        <w:t>Whilst this document can be inspirational for reactive responses to experts or medical enquiries, local regulations, the GSK Code of Practice, scientific engagement principles and/or medical information processes should be followed appropriately.</w:t>
      </w:r>
    </w:p>
    <w:p w:rsidR="00990F45" w:rsidP="00DC0702">
      <w:pPr>
        <w:pStyle w:val="Heading5"/>
      </w:pPr>
      <w:r>
        <w:t>Please Note</w:t>
      </w:r>
    </w:p>
    <w:p w:rsidR="006E0C1F" w:rsidP="006E0C1F">
      <w:pPr>
        <w:pStyle w:val="ListParagraph"/>
        <w:numPr>
          <w:ilvl w:val="0"/>
          <w:numId w:val="2"/>
        </w:numPr>
        <w:spacing w:after="0"/>
      </w:pPr>
      <w:r>
        <w:t xml:space="preserve">For media enquiries, please refer to the specific reactive Q&amp;A for Media Enquiries and notify the Global Pipeline Communications team before you respond to a request for an interview so that they can help you to prepare (contact person: Aoife Pauley at </w:t>
      </w:r>
      <w:r>
        <w:fldChar w:fldCharType="begin"/>
      </w:r>
      <w:r>
        <w:instrText xml:space="preserve"> HYPERLINK "mailto:aoife.x.pauley@gsk.com" </w:instrText>
      </w:r>
      <w:r>
        <w:fldChar w:fldCharType="separate"/>
      </w:r>
      <w:r w:rsidRPr="002051F1">
        <w:rPr>
          <w:rStyle w:val="Hyperlink"/>
        </w:rPr>
        <w:t>aoife.x.pauley@gsk.com</w:t>
      </w:r>
      <w:r>
        <w:fldChar w:fldCharType="end"/>
      </w:r>
      <w:r w:rsidRPr="008C178D">
        <w:t>)</w:t>
      </w:r>
      <w:r>
        <w:t>.</w:t>
      </w:r>
    </w:p>
    <w:p w:rsidR="006E0C1F" w:rsidP="006E0C1F">
      <w:pPr>
        <w:pStyle w:val="ListParagraph"/>
        <w:numPr>
          <w:ilvl w:val="0"/>
          <w:numId w:val="2"/>
        </w:numPr>
        <w:spacing w:after="0"/>
      </w:pPr>
      <w:r w:rsidRPr="008E182B">
        <w:t>The vaccine RTS</w:t>
      </w:r>
      <w:r w:rsidRPr="008E182B">
        <w:t>,S</w:t>
      </w:r>
      <w:r w:rsidRPr="008E182B">
        <w:t>/AS01 has completed phase 3 clinical program and positive regulatory assessment from the European Medicines Agency, but is not yet authorized for marketing in any country. The RTS</w:t>
      </w:r>
      <w:r w:rsidRPr="008E182B">
        <w:t>,S</w:t>
      </w:r>
      <w:r w:rsidRPr="008E182B">
        <w:t xml:space="preserve"> vaccine is being developed in Public Private Partnership with PATH-MVI, as an additional tool to be added to the currently available malaria preventive interventions and for implementation through the national immunization programs in malaria endemic regions in sub-Saharan African countries</w:t>
      </w:r>
      <w:r>
        <w:t>.</w:t>
      </w:r>
    </w:p>
    <w:p w:rsidR="006E0C1F" w:rsidP="006E0C1F">
      <w:pPr>
        <w:pStyle w:val="ListParagraph"/>
        <w:numPr>
          <w:ilvl w:val="0"/>
          <w:numId w:val="2"/>
        </w:numPr>
        <w:spacing w:after="0"/>
      </w:pPr>
      <w:r>
        <w:t>When referencing clinical data on RTS</w:t>
      </w:r>
      <w:r>
        <w:t>,S</w:t>
      </w:r>
      <w:r>
        <w:t xml:space="preserve"> any statements should be</w:t>
      </w:r>
      <w:bookmarkStart w:id="0" w:name="_GoBack"/>
      <w:bookmarkEnd w:id="0"/>
      <w:r>
        <w:t xml:space="preserve"> prefaced by "In this study...", to make it clear that it is too early to make any general statement on the vaccine profile outside the context of the ongoing clinical </w:t>
      </w:r>
      <w:r>
        <w:t>trails</w:t>
      </w:r>
      <w:r>
        <w:t>.</w:t>
      </w:r>
    </w:p>
    <w:p w:rsidR="006E0C1F" w:rsidP="006E0C1F">
      <w:pPr>
        <w:pStyle w:val="ListParagraph"/>
        <w:numPr>
          <w:ilvl w:val="0"/>
          <w:numId w:val="2"/>
        </w:numPr>
        <w:spacing w:after="0"/>
      </w:pPr>
      <w:r>
        <w:t xml:space="preserve">Have you found what you were looking for? If you have any suggestions for information which should be included in this tool please contact us at the following address: </w:t>
      </w:r>
      <w:r w:rsidR="00FA5C59">
        <w:t>Carys</w:t>
      </w:r>
      <w:r w:rsidR="00FA5C59">
        <w:t xml:space="preserve"> Calvert</w:t>
      </w:r>
      <w:r>
        <w:t xml:space="preserve"> at </w:t>
      </w:r>
      <w:r>
        <w:fldChar w:fldCharType="begin"/>
      </w:r>
      <w:r>
        <w:instrText xml:space="preserve"> HYPERLINK "mailto:carys.calvert@gsk.com" </w:instrText>
      </w:r>
      <w:r>
        <w:fldChar w:fldCharType="separate"/>
      </w:r>
      <w:r w:rsidR="00FA5C59">
        <w:rPr>
          <w:rStyle w:val="Hyperlink"/>
        </w:rPr>
        <w:t>carys.calvert@gsk.com</w:t>
      </w:r>
      <w:r>
        <w:fldChar w:fldCharType="end"/>
      </w:r>
      <w:r>
        <w:t>.</w:t>
      </w:r>
    </w:p>
    <w:p w:rsidP="004F6B2B">
      <w:pPr>
        <w:pStyle w:val="QuestionTitle"/>
        <w:rPr>
          <w:rStyle w:val="DefaultParagraphFont"/>
          <w:noProof/>
          <w:sz w:val="20"/>
          <w:szCs w:val="20"/>
        </w:rPr>
      </w:pPr>
      <w:r>
        <w:rPr>
          <w:rStyle w:val="Hyperlink"/>
        </w:rPr>
        <w:br w:type="page"/>
      </w:r>
      <w:r>
        <w:rPr>
          <w:rStyle w:val="DefaultParagraphFont"/>
          <w:noProof/>
        </w:rPr>
        <w:t>What is the efficacy of RTS,S in infants 6-12 weeks old at first vaccine dose?</w:t>
      </w:r>
    </w:p>
    <w:p w:rsidR="004F6B2B" w:rsidP="004F6B2B">
      <w:pPr>
        <w:pStyle w:val="QuestionAns"/>
        <w:rPr>
          <w:rStyle w:val="DefaultParagraphFont"/>
          <w:noProof/>
          <w:sz w:val="20"/>
          <w:szCs w:val="20"/>
        </w:rPr>
      </w:pPr>
      <w:r>
        <w:rPr>
          <w:rStyle w:val="DefaultParagraphFont"/>
          <w:noProof/>
          <w:u w:val="single"/>
        </w:rPr>
        <w:t>Key messages:</w:t>
      </w:r>
    </w:p>
    <w:p w:rsidR="004F6B2B" w:rsidP="004F6B2B">
      <w:pPr>
        <w:pStyle w:val="QuestionAns"/>
        <w:numPr>
          <w:ilvl w:val="0"/>
          <w:numId w:val="3"/>
        </w:numPr>
        <w:ind w:left="720" w:hanging="192"/>
        <w:rPr>
          <w:rStyle w:val="DefaultParagraphFont"/>
          <w:noProof/>
          <w:sz w:val="20"/>
          <w:szCs w:val="20"/>
        </w:rPr>
      </w:pPr>
      <w:r>
        <w:rPr>
          <w:rStyle w:val="DefaultParagraphFont"/>
          <w:b/>
          <w:bCs/>
          <w:noProof/>
        </w:rPr>
        <w:t xml:space="preserve">Over the first year after vaccination, RTS,S reduced the number of malaria cases in infants by a third. </w:t>
      </w:r>
    </w:p>
    <w:p w:rsidR="004F6B2B" w:rsidP="004F6B2B">
      <w:pPr>
        <w:pStyle w:val="QuestionAns"/>
        <w:numPr>
          <w:ilvl w:val="0"/>
          <w:numId w:val="3"/>
        </w:numPr>
        <w:ind w:left="720" w:hanging="192"/>
        <w:rPr>
          <w:rStyle w:val="DefaultParagraphFont"/>
          <w:noProof/>
          <w:sz w:val="20"/>
          <w:szCs w:val="20"/>
        </w:rPr>
      </w:pPr>
      <w:r>
        <w:rPr>
          <w:rStyle w:val="DefaultParagraphFont"/>
          <w:b/>
          <w:bCs/>
          <w:noProof/>
        </w:rPr>
        <w:t>Vaccine efficacy as highest shortly after vaccination, but could be enhanced by a 4</w:t>
      </w:r>
      <w:r>
        <w:rPr>
          <w:rStyle w:val="DefaultParagraphFont"/>
          <w:b/>
          <w:bCs/>
          <w:noProof/>
          <w:vertAlign w:val="superscript"/>
        </w:rPr>
        <w:t>th</w:t>
      </w:r>
      <w:r>
        <w:rPr>
          <w:rStyle w:val="DefaultParagraphFont"/>
          <w:b/>
          <w:bCs/>
          <w:noProof/>
        </w:rPr>
        <w:t xml:space="preserve"> dose</w:t>
      </w:r>
      <w:r>
        <w:rPr>
          <w:rStyle w:val="DefaultParagraphFont"/>
          <w:noProof/>
        </w:rPr>
        <w:t xml:space="preserve"> </w:t>
      </w:r>
    </w:p>
    <w:p w:rsidR="004F6B2B" w:rsidP="004F6B2B">
      <w:pPr>
        <w:pStyle w:val="QuestionAns"/>
        <w:numPr>
          <w:ilvl w:val="1"/>
          <w:numId w:val="3"/>
        </w:numPr>
        <w:ind w:left="1440" w:hanging="220"/>
        <w:rPr>
          <w:rStyle w:val="DefaultParagraphFont"/>
          <w:noProof/>
          <w:sz w:val="20"/>
          <w:szCs w:val="20"/>
        </w:rPr>
      </w:pPr>
      <w:r>
        <w:rPr>
          <w:rStyle w:val="DefaultParagraphFont"/>
          <w:noProof/>
        </w:rPr>
        <w:t>Vaccine efficacy waned over time, but the VE against clinical malaria remained statistically significant over the 3 years follow up period and was enhanced by a 4</w:t>
      </w:r>
      <w:r>
        <w:rPr>
          <w:rStyle w:val="DefaultParagraphFont"/>
          <w:noProof/>
          <w:vertAlign w:val="superscript"/>
        </w:rPr>
        <w:t>th</w:t>
      </w:r>
      <w:r>
        <w:rPr>
          <w:rStyle w:val="DefaultParagraphFont"/>
          <w:noProof/>
        </w:rPr>
        <w:t xml:space="preserve"> dose.</w:t>
      </w:r>
    </w:p>
    <w:p w:rsidR="004F6B2B" w:rsidP="004F6B2B">
      <w:pPr>
        <w:pStyle w:val="QuestionAns"/>
        <w:numPr>
          <w:ilvl w:val="0"/>
          <w:numId w:val="3"/>
        </w:numPr>
        <w:ind w:left="720" w:hanging="192"/>
        <w:rPr>
          <w:rStyle w:val="DefaultParagraphFont"/>
          <w:noProof/>
          <w:sz w:val="20"/>
          <w:szCs w:val="20"/>
        </w:rPr>
      </w:pPr>
      <w:r>
        <w:rPr>
          <w:rStyle w:val="DefaultParagraphFont"/>
          <w:noProof/>
        </w:rPr>
        <w:t>Vaccines were given in co-administration with routine EPI vaccines (DTPw-HepB-Hib, OPV)</w:t>
      </w:r>
    </w:p>
    <w:p w:rsidR="004F6B2B" w:rsidP="004F6B2B">
      <w:pPr>
        <w:pStyle w:val="QuestionAns"/>
        <w:numPr>
          <w:ilvl w:val="0"/>
          <w:numId w:val="3"/>
        </w:numPr>
        <w:ind w:left="720" w:hanging="192"/>
        <w:rPr>
          <w:rStyle w:val="DefaultParagraphFont"/>
          <w:noProof/>
          <w:sz w:val="20"/>
          <w:szCs w:val="20"/>
        </w:rPr>
      </w:pPr>
      <w:r>
        <w:rPr>
          <w:rStyle w:val="DefaultParagraphFont"/>
          <w:noProof/>
        </w:rPr>
        <w:t>Efficacy results were achieved in context of good access to health care and on top of existing malaria interventions, such as insecticide-treated bed nets used by 86% of study participants, demonstrating that RTS,S can provide protection in addition to that provided by existing malaria control interventions.</w:t>
      </w:r>
    </w:p>
    <w:p w:rsidR="004F6B2B" w:rsidP="004F6B2B">
      <w:pPr>
        <w:pStyle w:val="QuestionAns"/>
        <w:rPr>
          <w:rStyle w:val="DefaultParagraphFont"/>
          <w:noProof/>
          <w:sz w:val="20"/>
          <w:szCs w:val="20"/>
        </w:rPr>
      </w:pPr>
      <w:r>
        <w:rPr>
          <w:rStyle w:val="DefaultParagraphFont"/>
          <w:noProof/>
          <w:u w:val="single"/>
        </w:rPr>
        <w:t>More detailed information:</w:t>
      </w:r>
    </w:p>
    <w:p w:rsidR="004F6B2B" w:rsidP="004F6B2B">
      <w:pPr>
        <w:pStyle w:val="QuestionAns"/>
        <w:rPr>
          <w:rStyle w:val="DefaultParagraphFont"/>
          <w:noProof/>
          <w:sz w:val="20"/>
          <w:szCs w:val="20"/>
        </w:rPr>
      </w:pPr>
      <w:r>
        <w:rPr>
          <w:rStyle w:val="DefaultParagraphFont"/>
          <w:noProof/>
        </w:rPr>
        <w:t xml:space="preserve">The co-primary objective of the trial demonstrated a vaccine efficacy of 31% (97.5%CI: 24;38) over the first 12 months after dose 3 (ATP cohort) against the first episode of clinical malaria. </w:t>
      </w:r>
      <w:r>
        <w:rPr>
          <w:rStyle w:val="DefaultParagraphFont"/>
          <w:noProof/>
          <w:vertAlign w:val="superscript"/>
        </w:rPr>
        <w:t>(a)</w:t>
      </w:r>
      <w:r>
        <w:rPr>
          <w:rStyle w:val="DefaultParagraphFont"/>
          <w:noProof/>
        </w:rPr>
        <w:t xml:space="preserve"> These results are not aligned with phase II results where efficacy against first episode of clinical malaria over 12 months was 62% [95% CI: 36 to 77] </w:t>
      </w:r>
      <w:r>
        <w:rPr>
          <w:rStyle w:val="DefaultParagraphFont"/>
          <w:noProof/>
          <w:vertAlign w:val="superscript"/>
        </w:rPr>
        <w:t>(d)</w:t>
      </w:r>
    </w:p>
    <w:p w:rsidR="004F6B2B" w:rsidP="004F6B2B">
      <w:pPr>
        <w:pStyle w:val="QuestionAns"/>
        <w:rPr>
          <w:rStyle w:val="DefaultParagraphFont"/>
          <w:noProof/>
          <w:sz w:val="20"/>
          <w:szCs w:val="20"/>
        </w:rPr>
      </w:pPr>
      <w:r>
        <w:rPr>
          <w:rStyle w:val="DefaultParagraphFont"/>
          <w:noProof/>
        </w:rPr>
        <w:t xml:space="preserve">In the Phase III efficacy trial, VE was similar between the According-to-protocol and Intention-to-treat populations. </w:t>
      </w:r>
      <w:r>
        <w:rPr>
          <w:rStyle w:val="DefaultParagraphFont"/>
          <w:noProof/>
          <w:vertAlign w:val="superscript"/>
        </w:rPr>
        <w:t>(a,b,c)</w:t>
      </w:r>
    </w:p>
    <w:p w:rsidR="004F6B2B" w:rsidP="004F6B2B">
      <w:pPr>
        <w:pStyle w:val="QuestionAns"/>
        <w:rPr>
          <w:rStyle w:val="DefaultParagraphFont"/>
          <w:noProof/>
          <w:sz w:val="20"/>
          <w:szCs w:val="20"/>
        </w:rPr>
      </w:pPr>
      <w:r>
        <w:rPr>
          <w:rStyle w:val="DefaultParagraphFont"/>
          <w:noProof/>
        </w:rPr>
        <w:t>The difference in VE between study sites was not statistically significant.</w:t>
      </w:r>
      <w:r>
        <w:rPr>
          <w:rStyle w:val="DefaultParagraphFont"/>
          <w:noProof/>
          <w:vertAlign w:val="superscript"/>
        </w:rPr>
        <w:t xml:space="preserve"> (b)</w:t>
      </w:r>
    </w:p>
    <w:p w:rsidR="004F6B2B" w:rsidP="004F6B2B">
      <w:pPr>
        <w:pStyle w:val="QuestionAns"/>
        <w:rPr>
          <w:rStyle w:val="DefaultParagraphFont"/>
          <w:noProof/>
          <w:sz w:val="20"/>
          <w:szCs w:val="20"/>
        </w:rPr>
      </w:pPr>
      <w:r>
        <w:rPr>
          <w:rStyle w:val="DefaultParagraphFont"/>
          <w:noProof/>
        </w:rPr>
        <w:t>VE waned over time, and although it remained statistically significant for clinical malaria until study end, no efficacy was observed during the last study period (month 21 to study end) in the absence of a booster dose. No significant protection was seen against severe malaria beyond the first year of follow-up, whether with or without a fourth dose  </w:t>
      </w:r>
      <w:r>
        <w:rPr>
          <w:rStyle w:val="DefaultParagraphFont"/>
          <w:noProof/>
          <w:vertAlign w:val="superscript"/>
        </w:rPr>
        <w:t>(d)</w:t>
      </w:r>
    </w:p>
    <w:tbl>
      <w:tblPr>
        <w:tblW w:w="8490" w:type="dxa"/>
        <w:tblCellSpacing w:w="0" w:type="dxa"/>
        <w:tblInd w:w="16"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
      <w:tblGrid>
        <w:gridCol w:w="2390"/>
        <w:gridCol w:w="1840"/>
        <w:gridCol w:w="2115"/>
        <w:gridCol w:w="2115"/>
      </w:tblGrid>
      <w:tr>
        <w:tblPrEx>
          <w:tblW w:w="8490" w:type="dxa"/>
          <w:tblCellSpacing w:w="0" w:type="dxa"/>
          <w:tblInd w:w="16"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Ex>
        <w:trPr>
          <w:trHeight w:val="765"/>
          <w:tblCellSpacing w:w="0" w:type="dxa"/>
        </w:trPr>
        <w:tc>
          <w:tcPr>
            <w:tcW w:w="243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 xml:space="preserve">Vaccine efficacy </w:t>
            </w:r>
            <w:r>
              <w:rPr>
                <w:rStyle w:val="DefaultParagraphFont"/>
                <w:noProof/>
              </w:rPr>
              <w:t xml:space="preserve">(as described in European SmPC </w:t>
            </w:r>
            <w:r>
              <w:rPr>
                <w:rStyle w:val="DefaultParagraphFont"/>
                <w:noProof/>
                <w:vertAlign w:val="superscript"/>
              </w:rPr>
              <w:t>(e)</w:t>
            </w:r>
            <w:r>
              <w:rPr>
                <w:rStyle w:val="DefaultParagraphFont"/>
                <w:noProof/>
              </w:rPr>
              <w:t>)</w:t>
            </w:r>
          </w:p>
        </w:tc>
        <w:tc>
          <w:tcPr>
            <w:tcW w:w="186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clinical malaria</w:t>
            </w:r>
            <w:r>
              <w:rPr>
                <w:rStyle w:val="DefaultParagraphFont"/>
                <w:b/>
                <w:bCs/>
                <w:noProof/>
              </w:rPr>
              <w:br/>
            </w:r>
            <w:r>
              <w:rPr>
                <w:rStyle w:val="DefaultParagraphFont"/>
                <w:noProof/>
              </w:rPr>
              <w:t>(95% CI)</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severe malaria</w:t>
            </w:r>
            <w:r>
              <w:rPr>
                <w:rStyle w:val="DefaultParagraphFont"/>
                <w:b/>
                <w:bCs/>
                <w:noProof/>
              </w:rPr>
              <w:br/>
            </w:r>
            <w:r>
              <w:rPr>
                <w:rStyle w:val="DefaultParagraphFont"/>
                <w:noProof/>
              </w:rPr>
              <w:t>(95% CI)</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hospitalisation caused by malaria</w:t>
            </w:r>
            <w:r>
              <w:rPr>
                <w:rStyle w:val="DefaultParagraphFont"/>
                <w:b/>
                <w:bCs/>
                <w:noProof/>
              </w:rPr>
              <w:br/>
            </w:r>
            <w:r>
              <w:rPr>
                <w:rStyle w:val="DefaultParagraphFont"/>
                <w:noProof/>
              </w:rPr>
              <w:t>95% CI)</w:t>
            </w:r>
          </w:p>
        </w:tc>
      </w:tr>
      <w:tr>
        <w:tblPrEx>
          <w:tblW w:w="8490" w:type="dxa"/>
          <w:tblCellSpacing w:w="0" w:type="dxa"/>
          <w:tblInd w:w="16" w:type="dxa"/>
          <w:tblCellMar>
            <w:top w:w="0" w:type="dxa"/>
            <w:left w:w="0" w:type="dxa"/>
            <w:bottom w:w="0" w:type="dxa"/>
            <w:right w:w="0" w:type="dxa"/>
          </w:tblCellMar>
        </w:tblPrEx>
        <w:trPr>
          <w:trHeight w:val="750"/>
          <w:tblCellSpacing w:w="0" w:type="dxa"/>
        </w:trPr>
        <w:tc>
          <w:tcPr>
            <w:tcW w:w="243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Over 12 months follow-up from dose 3</w:t>
            </w:r>
            <w:r>
              <w:rPr>
                <w:rStyle w:val="DefaultParagraphFont"/>
                <w:b/>
                <w:bCs/>
                <w:noProof/>
              </w:rPr>
              <w:br/>
            </w:r>
            <w:r>
              <w:rPr>
                <w:rStyle w:val="DefaultParagraphFont"/>
                <w:noProof/>
              </w:rPr>
              <w:t>(ATP</w:t>
            </w:r>
            <w:r>
              <w:rPr>
                <w:rStyle w:val="DefaultParagraphFont"/>
                <w:noProof/>
                <w:vertAlign w:val="superscript"/>
              </w:rPr>
              <w:t>*</w:t>
            </w:r>
            <w:r>
              <w:rPr>
                <w:rStyle w:val="DefaultParagraphFont"/>
                <w:noProof/>
              </w:rPr>
              <w:t xml:space="preserve"> cohort, N = 6003)</w:t>
            </w:r>
          </w:p>
        </w:tc>
        <w:tc>
          <w:tcPr>
            <w:tcW w:w="186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33%</w:t>
            </w:r>
            <w:r>
              <w:rPr>
                <w:rStyle w:val="DefaultParagraphFont"/>
                <w:noProof/>
              </w:rPr>
              <w:br/>
            </w:r>
            <w:r>
              <w:rPr>
                <w:rStyle w:val="DefaultParagraphFont"/>
                <w:noProof/>
              </w:rPr>
              <w:t>(26; 39)</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37%</w:t>
            </w:r>
            <w:r>
              <w:rPr>
                <w:rStyle w:val="DefaultParagraphFont"/>
                <w:noProof/>
              </w:rPr>
              <w:br/>
            </w:r>
            <w:r>
              <w:rPr>
                <w:rStyle w:val="DefaultParagraphFont"/>
                <w:noProof/>
              </w:rPr>
              <w:t>(5; 58)</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32%</w:t>
            </w:r>
            <w:r>
              <w:rPr>
                <w:rStyle w:val="DefaultParagraphFont"/>
                <w:noProof/>
              </w:rPr>
              <w:br/>
            </w:r>
            <w:r>
              <w:rPr>
                <w:rStyle w:val="DefaultParagraphFont"/>
                <w:noProof/>
              </w:rPr>
              <w:t>(7; 50)</w:t>
            </w:r>
          </w:p>
        </w:tc>
      </w:tr>
      <w:tr>
        <w:tblPrEx>
          <w:tblW w:w="8490" w:type="dxa"/>
          <w:tblCellSpacing w:w="0" w:type="dxa"/>
          <w:tblInd w:w="16" w:type="dxa"/>
          <w:tblCellMar>
            <w:top w:w="0" w:type="dxa"/>
            <w:left w:w="0" w:type="dxa"/>
            <w:bottom w:w="0" w:type="dxa"/>
            <w:right w:w="0" w:type="dxa"/>
          </w:tblCellMar>
        </w:tblPrEx>
        <w:trPr>
          <w:trHeight w:val="750"/>
          <w:tblCellSpacing w:w="0" w:type="dxa"/>
        </w:trPr>
        <w:tc>
          <w:tcPr>
            <w:tcW w:w="243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Over 18 months follow-up from dose 3</w:t>
            </w:r>
            <w:r>
              <w:rPr>
                <w:rStyle w:val="DefaultParagraphFont"/>
                <w:b/>
                <w:bCs/>
                <w:noProof/>
              </w:rPr>
              <w:br/>
            </w:r>
            <w:r>
              <w:rPr>
                <w:rStyle w:val="DefaultParagraphFont"/>
                <w:noProof/>
              </w:rPr>
              <w:t>(ATP</w:t>
            </w:r>
            <w:r>
              <w:rPr>
                <w:rStyle w:val="DefaultParagraphFont"/>
                <w:noProof/>
                <w:vertAlign w:val="superscript"/>
              </w:rPr>
              <w:t>*</w:t>
            </w:r>
            <w:r>
              <w:rPr>
                <w:rStyle w:val="DefaultParagraphFont"/>
                <w:noProof/>
              </w:rPr>
              <w:t xml:space="preserve"> cohort, N=6003)</w:t>
            </w:r>
          </w:p>
        </w:tc>
        <w:tc>
          <w:tcPr>
            <w:tcW w:w="186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27%</w:t>
            </w:r>
            <w:r>
              <w:rPr>
                <w:rStyle w:val="DefaultParagraphFont"/>
                <w:noProof/>
              </w:rPr>
              <w:br/>
            </w:r>
            <w:r>
              <w:rPr>
                <w:rStyle w:val="DefaultParagraphFont"/>
                <w:noProof/>
              </w:rPr>
              <w:t>(20; 32)</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15%</w:t>
            </w:r>
            <w:r>
              <w:rPr>
                <w:rStyle w:val="DefaultParagraphFont"/>
                <w:noProof/>
              </w:rPr>
              <w:br/>
            </w:r>
            <w:r>
              <w:rPr>
                <w:rStyle w:val="DefaultParagraphFont"/>
                <w:noProof/>
              </w:rPr>
              <w:t>(-20; 39)</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17%</w:t>
            </w:r>
            <w:r>
              <w:rPr>
                <w:rStyle w:val="DefaultParagraphFont"/>
                <w:noProof/>
              </w:rPr>
              <w:br/>
            </w:r>
            <w:r>
              <w:rPr>
                <w:rStyle w:val="DefaultParagraphFont"/>
                <w:noProof/>
              </w:rPr>
              <w:t>(-7; 36)</w:t>
            </w:r>
          </w:p>
        </w:tc>
      </w:tr>
      <w:tr>
        <w:tblPrEx>
          <w:tblW w:w="8490" w:type="dxa"/>
          <w:tblCellSpacing w:w="0" w:type="dxa"/>
          <w:tblInd w:w="16" w:type="dxa"/>
          <w:tblCellMar>
            <w:top w:w="0" w:type="dxa"/>
            <w:left w:w="0" w:type="dxa"/>
            <w:bottom w:w="0" w:type="dxa"/>
            <w:right w:w="0" w:type="dxa"/>
          </w:tblCellMar>
        </w:tblPrEx>
        <w:trPr>
          <w:trHeight w:val="600"/>
          <w:tblCellSpacing w:w="0" w:type="dxa"/>
        </w:trPr>
        <w:tc>
          <w:tcPr>
            <w:tcW w:w="8520" w:type="dxa"/>
            <w:gridSpan w:val="4"/>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 xml:space="preserve">3 doses only </w:t>
            </w:r>
            <w:r>
              <w:rPr>
                <w:rStyle w:val="DefaultParagraphFont"/>
                <w:noProof/>
              </w:rPr>
              <w:t>(ATP* cohort, N=5997)</w:t>
            </w:r>
          </w:p>
        </w:tc>
      </w:tr>
      <w:tr>
        <w:tblPrEx>
          <w:tblW w:w="8490" w:type="dxa"/>
          <w:tblCellSpacing w:w="0" w:type="dxa"/>
          <w:tblInd w:w="16" w:type="dxa"/>
          <w:tblCellMar>
            <w:top w:w="0" w:type="dxa"/>
            <w:left w:w="0" w:type="dxa"/>
            <w:bottom w:w="0" w:type="dxa"/>
            <w:right w:w="0" w:type="dxa"/>
          </w:tblCellMar>
        </w:tblPrEx>
        <w:trPr>
          <w:trHeight w:val="555"/>
          <w:tblCellSpacing w:w="0" w:type="dxa"/>
        </w:trPr>
        <w:tc>
          <w:tcPr>
            <w:tcW w:w="243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Over 30 months follow-up from dose 3</w:t>
            </w:r>
          </w:p>
        </w:tc>
        <w:tc>
          <w:tcPr>
            <w:tcW w:w="186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20%</w:t>
            </w:r>
            <w:r>
              <w:rPr>
                <w:rStyle w:val="DefaultParagraphFont"/>
                <w:noProof/>
              </w:rPr>
              <w:br/>
            </w:r>
            <w:r>
              <w:rPr>
                <w:rStyle w:val="DefaultParagraphFont"/>
                <w:noProof/>
              </w:rPr>
              <w:t>(13; 27)</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11%</w:t>
            </w:r>
            <w:r>
              <w:rPr>
                <w:rStyle w:val="DefaultParagraphFont"/>
                <w:noProof/>
              </w:rPr>
              <w:br/>
            </w:r>
            <w:r>
              <w:rPr>
                <w:rStyle w:val="DefaultParagraphFont"/>
                <w:noProof/>
              </w:rPr>
              <w:t>(-22; 35)</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10%</w:t>
            </w:r>
            <w:r>
              <w:rPr>
                <w:rStyle w:val="DefaultParagraphFont"/>
                <w:noProof/>
              </w:rPr>
              <w:br/>
            </w:r>
            <w:r>
              <w:rPr>
                <w:rStyle w:val="DefaultParagraphFont"/>
                <w:noProof/>
              </w:rPr>
              <w:t>(-15; 30)</w:t>
            </w:r>
          </w:p>
        </w:tc>
      </w:tr>
      <w:tr>
        <w:tblPrEx>
          <w:tblW w:w="8490" w:type="dxa"/>
          <w:tblCellSpacing w:w="0" w:type="dxa"/>
          <w:tblInd w:w="16" w:type="dxa"/>
          <w:tblCellMar>
            <w:top w:w="0" w:type="dxa"/>
            <w:left w:w="0" w:type="dxa"/>
            <w:bottom w:w="0" w:type="dxa"/>
            <w:right w:w="0" w:type="dxa"/>
          </w:tblCellMar>
        </w:tblPrEx>
        <w:trPr>
          <w:trHeight w:val="690"/>
          <w:tblCellSpacing w:w="0" w:type="dxa"/>
        </w:trPr>
        <w:tc>
          <w:tcPr>
            <w:tcW w:w="243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Over 36 months follow-up** from dose 3</w:t>
            </w:r>
          </w:p>
        </w:tc>
        <w:tc>
          <w:tcPr>
            <w:tcW w:w="186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18%</w:t>
            </w:r>
            <w:r>
              <w:rPr>
                <w:rStyle w:val="DefaultParagraphFont"/>
                <w:noProof/>
              </w:rPr>
              <w:br/>
            </w:r>
            <w:r>
              <w:rPr>
                <w:rStyle w:val="DefaultParagraphFont"/>
                <w:noProof/>
              </w:rPr>
              <w:t>(11; 25)</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13%</w:t>
            </w:r>
            <w:r>
              <w:rPr>
                <w:rStyle w:val="DefaultParagraphFont"/>
                <w:noProof/>
              </w:rPr>
              <w:br/>
            </w:r>
            <w:r>
              <w:rPr>
                <w:rStyle w:val="DefaultParagraphFont"/>
                <w:noProof/>
              </w:rPr>
              <w:t>(-17; 35)</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13%</w:t>
            </w:r>
            <w:r>
              <w:rPr>
                <w:rStyle w:val="DefaultParagraphFont"/>
                <w:noProof/>
              </w:rPr>
              <w:br/>
            </w:r>
            <w:r>
              <w:rPr>
                <w:rStyle w:val="DefaultParagraphFont"/>
                <w:noProof/>
              </w:rPr>
              <w:t>(-9; 31)</w:t>
            </w:r>
          </w:p>
        </w:tc>
      </w:tr>
      <w:tr>
        <w:tblPrEx>
          <w:tblW w:w="8490" w:type="dxa"/>
          <w:tblCellSpacing w:w="0" w:type="dxa"/>
          <w:tblInd w:w="16" w:type="dxa"/>
          <w:tblCellMar>
            <w:top w:w="0" w:type="dxa"/>
            <w:left w:w="0" w:type="dxa"/>
            <w:bottom w:w="0" w:type="dxa"/>
            <w:right w:w="0" w:type="dxa"/>
          </w:tblCellMar>
        </w:tblPrEx>
        <w:trPr>
          <w:trHeight w:val="480"/>
          <w:tblCellSpacing w:w="0" w:type="dxa"/>
        </w:trPr>
        <w:tc>
          <w:tcPr>
            <w:tcW w:w="8520" w:type="dxa"/>
            <w:gridSpan w:val="4"/>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3 doses + 4</w:t>
            </w:r>
            <w:r>
              <w:rPr>
                <w:rStyle w:val="DefaultParagraphFont"/>
                <w:b/>
                <w:bCs/>
                <w:noProof/>
                <w:vertAlign w:val="superscript"/>
              </w:rPr>
              <w:t>th</w:t>
            </w:r>
            <w:r>
              <w:rPr>
                <w:rStyle w:val="DefaultParagraphFont"/>
                <w:b/>
                <w:bCs/>
                <w:noProof/>
              </w:rPr>
              <w:t xml:space="preserve"> dose </w:t>
            </w:r>
            <w:r>
              <w:rPr>
                <w:rStyle w:val="DefaultParagraphFont"/>
                <w:noProof/>
              </w:rPr>
              <w:t>(ATP* cohort, N=5997)</w:t>
            </w:r>
          </w:p>
        </w:tc>
      </w:tr>
      <w:tr>
        <w:tblPrEx>
          <w:tblW w:w="8490" w:type="dxa"/>
          <w:tblCellSpacing w:w="0" w:type="dxa"/>
          <w:tblInd w:w="16" w:type="dxa"/>
          <w:tblCellMar>
            <w:top w:w="0" w:type="dxa"/>
            <w:left w:w="0" w:type="dxa"/>
            <w:bottom w:w="0" w:type="dxa"/>
            <w:right w:w="0" w:type="dxa"/>
          </w:tblCellMar>
        </w:tblPrEx>
        <w:trPr>
          <w:trHeight w:val="645"/>
          <w:tblCellSpacing w:w="0" w:type="dxa"/>
        </w:trPr>
        <w:tc>
          <w:tcPr>
            <w:tcW w:w="243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Over 30 months follow-up from dose 3</w:t>
            </w:r>
          </w:p>
        </w:tc>
        <w:tc>
          <w:tcPr>
            <w:tcW w:w="186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28%</w:t>
            </w:r>
            <w:r>
              <w:rPr>
                <w:rStyle w:val="DefaultParagraphFont"/>
                <w:noProof/>
              </w:rPr>
              <w:br/>
            </w:r>
            <w:r>
              <w:rPr>
                <w:rStyle w:val="DefaultParagraphFont"/>
                <w:noProof/>
              </w:rPr>
              <w:t>(22; 34)</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17%</w:t>
            </w:r>
            <w:r>
              <w:rPr>
                <w:rStyle w:val="DefaultParagraphFont"/>
                <w:noProof/>
              </w:rPr>
              <w:br/>
            </w:r>
            <w:r>
              <w:rPr>
                <w:rStyle w:val="DefaultParagraphFont"/>
                <w:noProof/>
              </w:rPr>
              <w:t>(-14; 40)</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25%</w:t>
            </w:r>
            <w:r>
              <w:rPr>
                <w:rStyle w:val="DefaultParagraphFont"/>
                <w:noProof/>
              </w:rPr>
              <w:br/>
            </w:r>
            <w:r>
              <w:rPr>
                <w:rStyle w:val="DefaultParagraphFont"/>
                <w:noProof/>
              </w:rPr>
              <w:t>(3; 42)</w:t>
            </w:r>
          </w:p>
        </w:tc>
      </w:tr>
      <w:tr>
        <w:tblPrEx>
          <w:tblW w:w="8490" w:type="dxa"/>
          <w:tblCellSpacing w:w="0" w:type="dxa"/>
          <w:tblInd w:w="16" w:type="dxa"/>
          <w:tblCellMar>
            <w:top w:w="0" w:type="dxa"/>
            <w:left w:w="0" w:type="dxa"/>
            <w:bottom w:w="0" w:type="dxa"/>
            <w:right w:w="0" w:type="dxa"/>
          </w:tblCellMar>
        </w:tblPrEx>
        <w:trPr>
          <w:trHeight w:val="570"/>
          <w:tblCellSpacing w:w="0" w:type="dxa"/>
        </w:trPr>
        <w:tc>
          <w:tcPr>
            <w:tcW w:w="243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Over 36 months follow-up** from dose 3</w:t>
            </w:r>
          </w:p>
        </w:tc>
        <w:tc>
          <w:tcPr>
            <w:tcW w:w="186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27%</w:t>
            </w:r>
            <w:r>
              <w:rPr>
                <w:rStyle w:val="DefaultParagraphFont"/>
                <w:noProof/>
              </w:rPr>
              <w:br/>
            </w:r>
            <w:r>
              <w:rPr>
                <w:rStyle w:val="DefaultParagraphFont"/>
                <w:noProof/>
              </w:rPr>
              <w:t>(21; 32)</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21%</w:t>
            </w:r>
            <w:r>
              <w:rPr>
                <w:rStyle w:val="DefaultParagraphFont"/>
                <w:noProof/>
              </w:rPr>
              <w:br/>
            </w:r>
            <w:r>
              <w:rPr>
                <w:rStyle w:val="DefaultParagraphFont"/>
                <w:noProof/>
              </w:rPr>
              <w:t>(-7; 42)</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27%</w:t>
            </w:r>
            <w:r>
              <w:rPr>
                <w:rStyle w:val="DefaultParagraphFont"/>
                <w:noProof/>
              </w:rPr>
              <w:br/>
            </w:r>
            <w:r>
              <w:rPr>
                <w:rStyle w:val="DefaultParagraphFont"/>
                <w:noProof/>
              </w:rPr>
              <w:t>(7; 43)</w:t>
            </w:r>
          </w:p>
        </w:tc>
      </w:tr>
    </w:tbl>
    <w:p w:rsidR="004F6B2B" w:rsidP="004F6B2B">
      <w:pPr>
        <w:pStyle w:val="QuestionAns"/>
        <w:rPr>
          <w:rStyle w:val="DefaultParagraphFont"/>
          <w:noProof/>
          <w:sz w:val="20"/>
          <w:szCs w:val="20"/>
        </w:rPr>
      </w:pPr>
      <w:r>
        <w:rPr>
          <w:rStyle w:val="DefaultParagraphFont"/>
          <w:noProof/>
          <w:sz w:val="15"/>
          <w:szCs w:val="15"/>
        </w:rPr>
        <w:t>*ATP: Subjects who received all vaccinations According-To-Protocol procedures within specified intervals, with period at risk starting 14 days after dose 3, N= total number in all 3 study groups</w:t>
      </w:r>
      <w:r>
        <w:rPr>
          <w:rStyle w:val="DefaultParagraphFont"/>
          <w:noProof/>
          <w:sz w:val="15"/>
          <w:szCs w:val="15"/>
        </w:rPr>
        <w:br/>
      </w:r>
      <w:r>
        <w:rPr>
          <w:rStyle w:val="DefaultParagraphFont"/>
          <w:noProof/>
          <w:sz w:val="15"/>
          <w:szCs w:val="15"/>
        </w:rPr>
        <w:t>** All subjects were followed up over 32 months post dose 1. In addition, follow-up continued until Dec 31, 2013 leading to a median follow-up of 38 months for infants post dose 1.</w:t>
      </w:r>
    </w:p>
    <w:p w:rsidR="004F6B2B" w:rsidP="004F6B2B">
      <w:pPr>
        <w:pStyle w:val="QuestionAns"/>
        <w:rPr>
          <w:rStyle w:val="DefaultParagraphFont"/>
          <w:noProof/>
          <w:sz w:val="20"/>
          <w:szCs w:val="20"/>
        </w:rPr>
      </w:pPr>
      <w:r>
        <w:rPr>
          <w:rStyle w:val="DefaultParagraphFont"/>
          <w:noProof/>
        </w:rPr>
        <w:t xml:space="preserve">VE was not demonstrated against all-cause mortality, malaria mortality, hospitalized pneumonia, septicaemia or prevalent anaemia, nor was there a detectable effect on nutritional status or growth. Case fatality rate for malaria and all-cause mortality was low </w:t>
      </w:r>
      <w:r>
        <w:rPr>
          <w:rStyle w:val="DefaultParagraphFont"/>
          <w:noProof/>
          <w:vertAlign w:val="superscript"/>
        </w:rPr>
        <w:t>(b)</w:t>
      </w:r>
      <w:r>
        <w:rPr>
          <w:rStyle w:val="DefaultParagraphFont"/>
          <w:noProof/>
        </w:rPr>
        <w:t>. This may, in part, be explained by the very high standard of care throughout the trial and low mortality.</w:t>
      </w:r>
    </w:p>
    <w:p w:rsidR="004F6B2B" w:rsidP="004F6B2B">
      <w:pPr>
        <w:pStyle w:val="References"/>
        <w:numPr>
          <w:ilvl w:val="0"/>
          <w:numId w:val="4"/>
        </w:numPr>
        <w:ind w:left="720" w:hanging="220"/>
        <w:rPr>
          <w:rStyle w:val="DefaultParagraphFont"/>
          <w:noProof/>
          <w:sz w:val="16"/>
          <w:szCs w:val="16"/>
        </w:rPr>
      </w:pPr>
      <w:r>
        <w:rPr>
          <w:rStyle w:val="DefaultParagraphFont"/>
          <w:i/>
          <w:iCs/>
          <w:noProof/>
        </w:rPr>
        <w:t>The RTS,S Clinical Trial Partnership. NEJM 2012, 367: 2284-95.</w:t>
      </w:r>
    </w:p>
    <w:p w:rsidR="004F6B2B" w:rsidP="004F6B2B">
      <w:pPr>
        <w:pStyle w:val="References"/>
        <w:numPr>
          <w:ilvl w:val="0"/>
          <w:numId w:val="4"/>
        </w:numPr>
        <w:ind w:left="720" w:hanging="211"/>
        <w:rPr>
          <w:rStyle w:val="DefaultParagraphFont"/>
          <w:noProof/>
          <w:sz w:val="16"/>
          <w:szCs w:val="16"/>
        </w:rPr>
      </w:pPr>
      <w:r>
        <w:rPr>
          <w:rStyle w:val="DefaultParagraphFont"/>
          <w:i/>
          <w:iCs/>
          <w:noProof/>
        </w:rPr>
        <w:t>RTS,S Clinical Trial Partnership. PloS Medicine 2014; doi/10.1371/journal.pmed.1001685</w:t>
      </w:r>
    </w:p>
    <w:p w:rsidR="004F6B2B" w:rsidP="004F6B2B">
      <w:pPr>
        <w:pStyle w:val="References"/>
        <w:numPr>
          <w:ilvl w:val="0"/>
          <w:numId w:val="4"/>
        </w:numPr>
        <w:ind w:left="720" w:hanging="220"/>
        <w:rPr>
          <w:rStyle w:val="DefaultParagraphFont"/>
          <w:noProof/>
          <w:sz w:val="16"/>
          <w:szCs w:val="16"/>
        </w:rPr>
      </w:pPr>
      <w:r>
        <w:rPr>
          <w:rStyle w:val="DefaultParagraphFont"/>
          <w:i/>
          <w:iCs/>
          <w:noProof/>
        </w:rPr>
        <w:t>The  RTS,S Clinical Trial Partnership. The Lancet, 2015. dx.doi.org/10.1016/S0140-6736(15)60721-8</w:t>
      </w:r>
    </w:p>
    <w:p w:rsidR="004F6B2B" w:rsidP="004F6B2B">
      <w:pPr>
        <w:pStyle w:val="References"/>
        <w:numPr>
          <w:ilvl w:val="0"/>
          <w:numId w:val="4"/>
        </w:numPr>
        <w:ind w:left="720" w:hanging="211"/>
        <w:rPr>
          <w:rStyle w:val="DefaultParagraphFont"/>
          <w:noProof/>
          <w:sz w:val="16"/>
          <w:szCs w:val="16"/>
        </w:rPr>
      </w:pPr>
      <w:r>
        <w:rPr>
          <w:rStyle w:val="DefaultParagraphFont"/>
          <w:i/>
          <w:iCs/>
          <w:noProof/>
        </w:rPr>
        <w:t>Asante, KP. et al, Lancet Infect Dis 2011; 11:741-9.</w:t>
      </w:r>
    </w:p>
    <w:p w:rsidR="004F6B2B" w:rsidP="004F6B2B">
      <w:pPr>
        <w:pStyle w:val="References"/>
        <w:numPr>
          <w:ilvl w:val="0"/>
          <w:numId w:val="4"/>
        </w:numPr>
        <w:ind w:left="720" w:hanging="193"/>
        <w:rPr>
          <w:rStyle w:val="DefaultParagraphFont"/>
          <w:noProof/>
          <w:sz w:val="16"/>
          <w:szCs w:val="16"/>
        </w:rPr>
      </w:pPr>
      <w:r>
        <w:rPr>
          <w:rStyle w:val="DefaultParagraphFont"/>
          <w:i/>
          <w:iCs/>
          <w:noProof/>
        </w:rPr>
        <w:t>European Medicines Agency, ema.europa.eu/ema/</w:t>
      </w:r>
    </w:p>
    <w:sectPr w:rsidSect="005E191C">
      <w:headerReference w:type="default" r:id="rId4"/>
      <w:pgSz w:w="11906" w:h="16838"/>
      <w:pgMar w:top="1814" w:right="1287" w:bottom="1440" w:left="1077" w:header="567" w:footer="731"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22D68" w:rsidRPr="006E3EE2" w:rsidP="00222D68">
    <w:pPr>
      <w:pStyle w:val="Heading1"/>
      <w:jc w:val="center"/>
    </w:pPr>
    <w:bookmarkStart w:id="1" w:name="_Toc306442200"/>
    <w:r w:rsidRPr="006E3EE2">
      <w:t>RTS</w:t>
    </w:r>
    <w:r w:rsidRPr="006E3EE2">
      <w:t>,S</w:t>
    </w:r>
    <w:r w:rsidRPr="006E3EE2">
      <w:t xml:space="preserve"> MEDICAL AND SCIENTIFIC QUESTIONS &amp; ANSWERS</w:t>
    </w:r>
  </w:p>
  <w:p w:rsidR="008C6F54" w:rsidRPr="005E191C" w:rsidP="005E191C">
    <w:pPr>
      <w:jc w:val="center"/>
      <w:rPr>
        <w:b/>
        <w:bCs/>
        <w:color w:val="FF0000"/>
        <w:szCs w:val="20"/>
        <w:u w:val="single"/>
      </w:rPr>
    </w:pPr>
    <w:r w:rsidRPr="002423B0">
      <w:rPr>
        <w:rStyle w:val="Strong"/>
        <w:color w:val="FF0000"/>
        <w:szCs w:val="20"/>
      </w:rPr>
      <w:t>For internal use only - NOT FOR DISTRIBUTION</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4E31CA0"/>
    <w:multiLevelType w:val="hybridMultilevel"/>
    <w:tmpl w:val="C1DEDA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7CD25137"/>
    <w:multiLevelType w:val="hybridMultilevel"/>
    <w:tmpl w:val="D14CEA3C"/>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7CD25138"/>
    <w:multiLevelType w:val="hybridMultilevel"/>
    <w:tmpl w:val="7CD25138"/>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7CD25139"/>
    <w:multiLevelType w:val="multilevel"/>
    <w:tmpl w:val="7CD25139"/>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91C"/>
    <w:pPr>
      <w:spacing w:after="120"/>
    </w:pPr>
    <w:rPr>
      <w:rFonts w:ascii="Arial" w:hAnsi="Arial"/>
      <w:szCs w:val="24"/>
      <w:lang w:val="en-US" w:eastAsia="en-US"/>
    </w:rPr>
  </w:style>
  <w:style w:type="paragraph" w:styleId="Heading1">
    <w:name w:val="heading 1"/>
    <w:basedOn w:val="Normal"/>
    <w:next w:val="Normal"/>
    <w:link w:val="Heading1Char"/>
    <w:qFormat/>
    <w:rsid w:val="00222D68"/>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4">
    <w:name w:val="heading 4"/>
    <w:basedOn w:val="Normal"/>
    <w:next w:val="Normal"/>
    <w:link w:val="Heading4Char"/>
    <w:unhideWhenUsed/>
    <w:qFormat/>
    <w:rsid w:val="00EA6310"/>
    <w:pPr>
      <w:keepNext/>
      <w:keepLines/>
      <w:spacing w:before="40"/>
      <w:outlineLvl w:val="3"/>
    </w:pPr>
    <w:rPr>
      <w:rFonts w:eastAsiaTheme="majorEastAsia" w:cstheme="majorBidi"/>
      <w:b/>
      <w:iCs/>
      <w:sz w:val="24"/>
    </w:rPr>
  </w:style>
  <w:style w:type="paragraph" w:styleId="Heading5">
    <w:name w:val="heading 5"/>
    <w:basedOn w:val="Normal"/>
    <w:next w:val="Normal"/>
    <w:link w:val="Heading5Char"/>
    <w:unhideWhenUsed/>
    <w:qFormat/>
    <w:rsid w:val="00DC0702"/>
    <w:pPr>
      <w:keepNext/>
      <w:keepLines/>
      <w:spacing w:before="12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C6F54"/>
    <w:pPr>
      <w:tabs>
        <w:tab w:val="center" w:pos="4513"/>
        <w:tab w:val="right" w:pos="9026"/>
      </w:tabs>
    </w:pPr>
  </w:style>
  <w:style w:type="character" w:customStyle="1" w:styleId="HeaderChar">
    <w:name w:val="Header Char"/>
    <w:basedOn w:val="DefaultParagraphFont"/>
    <w:link w:val="Header"/>
    <w:rsid w:val="008C6F54"/>
    <w:rPr>
      <w:rFonts w:ascii="Arial" w:hAnsi="Arial"/>
      <w:sz w:val="24"/>
      <w:szCs w:val="24"/>
      <w:lang w:val="en-US" w:eastAsia="en-US"/>
    </w:rPr>
  </w:style>
  <w:style w:type="paragraph" w:styleId="Footer">
    <w:name w:val="footer"/>
    <w:basedOn w:val="Normal"/>
    <w:link w:val="FooterChar"/>
    <w:rsid w:val="008C6F54"/>
    <w:pPr>
      <w:tabs>
        <w:tab w:val="center" w:pos="4513"/>
        <w:tab w:val="right" w:pos="9026"/>
      </w:tabs>
    </w:pPr>
  </w:style>
  <w:style w:type="character" w:customStyle="1" w:styleId="FooterChar">
    <w:name w:val="Footer Char"/>
    <w:basedOn w:val="DefaultParagraphFont"/>
    <w:link w:val="Footer"/>
    <w:rsid w:val="008C6F54"/>
    <w:rPr>
      <w:rFonts w:ascii="Arial" w:hAnsi="Arial"/>
      <w:sz w:val="24"/>
      <w:szCs w:val="24"/>
      <w:lang w:val="en-US" w:eastAsia="en-US"/>
    </w:rPr>
  </w:style>
  <w:style w:type="character" w:styleId="PageNumber">
    <w:name w:val="page number"/>
    <w:basedOn w:val="DefaultParagraphFont"/>
    <w:rsid w:val="008C6F54"/>
  </w:style>
  <w:style w:type="paragraph" w:customStyle="1" w:styleId="MyCustomStyle">
    <w:name w:val="MyCustomStyle"/>
    <w:qFormat/>
    <w:rsid w:val="006B62D2"/>
    <w:rPr>
      <w:rFonts w:ascii="Arial" w:hAnsi="Arial"/>
      <w:i/>
      <w:sz w:val="18"/>
      <w:szCs w:val="24"/>
      <w:lang w:val="en-US" w:eastAsia="en-US"/>
    </w:rPr>
  </w:style>
  <w:style w:type="character" w:styleId="IntenseReference">
    <w:name w:val="Intense Reference"/>
    <w:basedOn w:val="DefaultParagraphFont"/>
    <w:uiPriority w:val="32"/>
    <w:qFormat/>
    <w:rsid w:val="00A73E30"/>
    <w:rPr>
      <w:b/>
      <w:bCs/>
      <w:smallCaps/>
      <w:color w:val="C0504D" w:themeColor="accent2"/>
      <w:spacing w:val="5"/>
      <w:u w:val="single"/>
    </w:rPr>
  </w:style>
  <w:style w:type="character" w:styleId="IntenseEmphasis">
    <w:name w:val="Intense Emphasis"/>
    <w:basedOn w:val="DefaultParagraphFont"/>
    <w:uiPriority w:val="21"/>
    <w:qFormat/>
    <w:rsid w:val="00230041"/>
    <w:rPr>
      <w:b/>
      <w:bCs/>
      <w:i/>
      <w:iCs/>
      <w:color w:val="4F81BD" w:themeColor="accent1"/>
    </w:rPr>
  </w:style>
  <w:style w:type="paragraph" w:customStyle="1" w:styleId="References">
    <w:name w:val="References"/>
    <w:basedOn w:val="MyCustomStyle"/>
    <w:qFormat/>
    <w:rsid w:val="008C704D"/>
    <w:pPr>
      <w:spacing w:after="120"/>
    </w:pPr>
    <w:rPr>
      <w:i w:val="0"/>
      <w:sz w:val="16"/>
    </w:rPr>
  </w:style>
  <w:style w:type="paragraph" w:styleId="Title">
    <w:name w:val="Title"/>
    <w:basedOn w:val="Normal"/>
    <w:next w:val="Normal"/>
    <w:link w:val="TitleChar"/>
    <w:qFormat/>
    <w:rsid w:val="005D1D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D1D7D"/>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QuestionTitle">
    <w:name w:val="QuestionTitle"/>
    <w:basedOn w:val="Normal"/>
    <w:next w:val="Normal"/>
    <w:qFormat/>
    <w:rsid w:val="001D7A4C"/>
    <w:rPr>
      <w:rFonts w:eastAsiaTheme="majorEastAsia" w:cstheme="majorBidi"/>
      <w:b/>
      <w:spacing w:val="5"/>
      <w:kern w:val="28"/>
      <w:szCs w:val="52"/>
    </w:rPr>
  </w:style>
  <w:style w:type="paragraph" w:customStyle="1" w:styleId="QuestionAns">
    <w:name w:val="QuestionAns"/>
    <w:basedOn w:val="Normal"/>
    <w:next w:val="Normal"/>
    <w:qFormat/>
    <w:rsid w:val="00036354"/>
  </w:style>
  <w:style w:type="character" w:styleId="Hyperlink">
    <w:name w:val="Hyperlink"/>
    <w:basedOn w:val="DefaultParagraphFont"/>
    <w:rsid w:val="00205E66"/>
    <w:rPr>
      <w:color w:val="0000FF" w:themeColor="hyperlink"/>
      <w:u w:val="single"/>
    </w:rPr>
  </w:style>
  <w:style w:type="character" w:customStyle="1" w:styleId="Heading1Char">
    <w:name w:val="Heading 1 Char"/>
    <w:basedOn w:val="DefaultParagraphFont"/>
    <w:link w:val="Heading1"/>
    <w:rsid w:val="00222D68"/>
    <w:rPr>
      <w:rFonts w:asciiTheme="minorHAnsi" w:eastAsiaTheme="majorEastAsia" w:hAnsiTheme="minorHAnsi" w:cstheme="majorBidi"/>
      <w:b/>
      <w:bCs/>
      <w:color w:val="000000" w:themeColor="text1"/>
      <w:sz w:val="28"/>
      <w:szCs w:val="28"/>
      <w:lang w:val="en-US" w:eastAsia="en-US"/>
    </w:rPr>
  </w:style>
  <w:style w:type="character" w:styleId="Strong">
    <w:name w:val="Strong"/>
    <w:basedOn w:val="DefaultParagraphFont"/>
    <w:uiPriority w:val="22"/>
    <w:qFormat/>
    <w:rsid w:val="00222D68"/>
    <w:rPr>
      <w:b/>
      <w:bCs/>
      <w:u w:val="single"/>
    </w:rPr>
  </w:style>
  <w:style w:type="paragraph" w:styleId="ListParagraph">
    <w:name w:val="List Paragraph"/>
    <w:basedOn w:val="Normal"/>
    <w:uiPriority w:val="34"/>
    <w:qFormat/>
    <w:rsid w:val="00FE6CBD"/>
    <w:pPr>
      <w:ind w:left="720"/>
      <w:contextualSpacing/>
    </w:pPr>
  </w:style>
  <w:style w:type="character" w:customStyle="1" w:styleId="Heading5Char">
    <w:name w:val="Heading 5 Char"/>
    <w:basedOn w:val="DefaultParagraphFont"/>
    <w:link w:val="Heading5"/>
    <w:rsid w:val="00DC0702"/>
    <w:rPr>
      <w:rFonts w:ascii="Arial" w:hAnsi="Arial" w:eastAsiaTheme="majorEastAsia" w:cstheme="majorBidi"/>
      <w:b/>
      <w:color w:val="000000" w:themeColor="text1"/>
      <w:szCs w:val="24"/>
      <w:lang w:val="en-US" w:eastAsia="en-US"/>
    </w:rPr>
  </w:style>
  <w:style w:type="character" w:customStyle="1" w:styleId="Heading4Char">
    <w:name w:val="Heading 4 Char"/>
    <w:basedOn w:val="DefaultParagraphFont"/>
    <w:link w:val="Heading4"/>
    <w:rsid w:val="00EA6310"/>
    <w:rPr>
      <w:rFonts w:ascii="Arial" w:hAnsi="Arial" w:eastAsiaTheme="majorEastAsia" w:cstheme="majorBidi"/>
      <w:b/>
      <w:i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74</TotalTime>
  <Pages>3</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Kilhams</dc:creator>
  <cp:lastModifiedBy>Ross Kilhams</cp:lastModifiedBy>
  <cp:revision>62</cp:revision>
  <dcterms:created xsi:type="dcterms:W3CDTF">2012-03-21T15:51:00Z</dcterms:created>
  <dcterms:modified xsi:type="dcterms:W3CDTF">2016-02-29T12:38:00Z</dcterms:modified>
</cp:coreProperties>
</file>