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the efficacy of RTS,S in children 5-17 months old at the first vaccine dose?</w:t>
      </w:r>
    </w:p>
    <w:p w:rsidR="004F6B2B" w:rsidP="004F6B2B">
      <w:pPr>
        <w:pStyle w:val="QuestionAns"/>
        <w:rPr>
          <w:rStyle w:val="DefaultParagraphFont"/>
          <w:noProof/>
          <w:sz w:val="20"/>
          <w:szCs w:val="20"/>
        </w:rPr>
      </w:pPr>
      <w:r>
        <w:rPr>
          <w:rStyle w:val="DefaultParagraphFont"/>
          <w:noProof/>
          <w:u w:val="single"/>
        </w:rPr>
        <w:t>Key messages:</w:t>
      </w:r>
    </w:p>
    <w:p w:rsidR="004F6B2B" w:rsidP="004F6B2B">
      <w:pPr>
        <w:pStyle w:val="QuestionAns"/>
        <w:numPr>
          <w:ilvl w:val="0"/>
          <w:numId w:val="3"/>
        </w:numPr>
        <w:ind w:left="720" w:hanging="192"/>
        <w:rPr>
          <w:rStyle w:val="DefaultParagraphFont"/>
          <w:noProof/>
          <w:sz w:val="20"/>
          <w:szCs w:val="20"/>
        </w:rPr>
      </w:pPr>
      <w:r>
        <w:rPr>
          <w:rStyle w:val="DefaultParagraphFont"/>
          <w:b/>
          <w:bCs/>
          <w:noProof/>
        </w:rPr>
        <w:t xml:space="preserve">Over the first year after vaccination, RTS,S reduced the number of malaria cases in children by half. </w:t>
      </w:r>
    </w:p>
    <w:p w:rsidR="004F6B2B" w:rsidP="004F6B2B">
      <w:pPr>
        <w:pStyle w:val="QuestionAns"/>
        <w:numPr>
          <w:ilvl w:val="0"/>
          <w:numId w:val="3"/>
        </w:numPr>
        <w:ind w:left="720" w:hanging="192"/>
        <w:rPr>
          <w:rStyle w:val="DefaultParagraphFont"/>
          <w:noProof/>
          <w:sz w:val="20"/>
          <w:szCs w:val="20"/>
        </w:rPr>
      </w:pPr>
      <w:r>
        <w:rPr>
          <w:rStyle w:val="DefaultParagraphFont"/>
          <w:b/>
          <w:bCs/>
          <w:noProof/>
        </w:rPr>
        <w:t>Vaccine efficacy was highest shortly after vaccination, but could be enhanced by a 4</w:t>
      </w:r>
      <w:r>
        <w:rPr>
          <w:rStyle w:val="DefaultParagraphFont"/>
          <w:b/>
          <w:bCs/>
          <w:noProof/>
          <w:vertAlign w:val="superscript"/>
        </w:rPr>
        <w:t>th</w:t>
      </w:r>
      <w:r>
        <w:rPr>
          <w:rStyle w:val="DefaultParagraphFont"/>
          <w:b/>
          <w:bCs/>
          <w:noProof/>
        </w:rPr>
        <w:t xml:space="preserve"> dose</w:t>
      </w:r>
      <w:r>
        <w:rPr>
          <w:rStyle w:val="DefaultParagraphFont"/>
          <w:noProof/>
        </w:rPr>
        <w:t xml:space="preserve"> </w:t>
      </w:r>
    </w:p>
    <w:p w:rsidR="004F6B2B" w:rsidP="004F6B2B">
      <w:pPr>
        <w:pStyle w:val="QuestionAns"/>
        <w:numPr>
          <w:ilvl w:val="1"/>
          <w:numId w:val="3"/>
        </w:numPr>
        <w:ind w:left="1440" w:hanging="220"/>
        <w:rPr>
          <w:rStyle w:val="DefaultParagraphFont"/>
          <w:noProof/>
          <w:sz w:val="20"/>
          <w:szCs w:val="20"/>
        </w:rPr>
      </w:pPr>
      <w:r>
        <w:rPr>
          <w:rStyle w:val="DefaultParagraphFont"/>
          <w:noProof/>
        </w:rPr>
        <w:t>Vaccine efficacy waned over time, but the VE against clinical malaria remained statistically significant over the 4 years follow up period and was enhanced by a 4</w:t>
      </w:r>
      <w:r>
        <w:rPr>
          <w:rStyle w:val="DefaultParagraphFont"/>
          <w:noProof/>
          <w:vertAlign w:val="superscript"/>
        </w:rPr>
        <w:t>th</w:t>
      </w:r>
      <w:r>
        <w:rPr>
          <w:rStyle w:val="DefaultParagraphFont"/>
          <w:noProof/>
        </w:rPr>
        <w:t xml:space="preserve"> dose.</w:t>
      </w:r>
    </w:p>
    <w:p w:rsidR="004F6B2B" w:rsidP="004F6B2B">
      <w:pPr>
        <w:pStyle w:val="QuestionAns"/>
        <w:numPr>
          <w:ilvl w:val="0"/>
          <w:numId w:val="3"/>
        </w:numPr>
        <w:ind w:left="720" w:hanging="192"/>
        <w:rPr>
          <w:rStyle w:val="DefaultParagraphFont"/>
          <w:noProof/>
          <w:sz w:val="20"/>
          <w:szCs w:val="20"/>
        </w:rPr>
      </w:pPr>
      <w:r>
        <w:rPr>
          <w:rStyle w:val="DefaultParagraphFont"/>
          <w:noProof/>
        </w:rPr>
        <w:t>Efficacy results were achieved in context of good access to health care and on top of existing malaria interventions, such as insecticide-treated bed nets used by 78% of study participants, demonstrating that RTS,S can provide protection in addition to that provided by existing malaria control interventions.</w:t>
      </w:r>
    </w:p>
    <w:p w:rsidR="004F6B2B" w:rsidP="004F6B2B">
      <w:pPr>
        <w:pStyle w:val="QuestionAns"/>
        <w:rPr>
          <w:rStyle w:val="DefaultParagraphFont"/>
          <w:noProof/>
          <w:sz w:val="20"/>
          <w:szCs w:val="20"/>
        </w:rPr>
      </w:pPr>
      <w:r>
        <w:rPr>
          <w:rStyle w:val="DefaultParagraphFont"/>
          <w:noProof/>
          <w:u w:val="single"/>
        </w:rPr>
        <w:t>More detailed information:</w:t>
      </w:r>
    </w:p>
    <w:p w:rsidR="004F6B2B" w:rsidP="004F6B2B">
      <w:pPr>
        <w:pStyle w:val="QuestionAns"/>
        <w:rPr>
          <w:rStyle w:val="DefaultParagraphFont"/>
          <w:noProof/>
          <w:sz w:val="20"/>
          <w:szCs w:val="20"/>
        </w:rPr>
      </w:pPr>
      <w:r>
        <w:rPr>
          <w:rStyle w:val="DefaultParagraphFont"/>
          <w:noProof/>
        </w:rPr>
        <w:t>The co-primary objective of the trial demonstrated a vaccine efficacy of 56% (97.5% CI: 51-60) over the first 12 months after dose 3 (ATP cohort) against the first episode of clinical malaria in the first 6000 children.</w:t>
      </w:r>
      <w:r>
        <w:rPr>
          <w:rStyle w:val="DefaultParagraphFont"/>
          <w:noProof/>
          <w:vertAlign w:val="superscript"/>
        </w:rPr>
        <w:t xml:space="preserve">(a) </w:t>
      </w:r>
      <w:r>
        <w:rPr>
          <w:rStyle w:val="DefaultParagraphFont"/>
          <w:noProof/>
        </w:rPr>
        <w:t>These efficacy results are aligned with phase II POC results where the vaccine efficacy against the first episode of clinical malaria in 5-17 months over 12 months was 39 % [95% CI: 20-54].</w:t>
      </w:r>
      <w:r>
        <w:rPr>
          <w:rStyle w:val="DefaultParagraphFont"/>
          <w:noProof/>
          <w:vertAlign w:val="superscript"/>
        </w:rPr>
        <w:t>(d)</w:t>
      </w:r>
    </w:p>
    <w:p w:rsidR="004F6B2B" w:rsidP="004F6B2B">
      <w:pPr>
        <w:pStyle w:val="QuestionAns"/>
        <w:rPr>
          <w:rStyle w:val="DefaultParagraphFont"/>
          <w:noProof/>
          <w:sz w:val="20"/>
          <w:szCs w:val="20"/>
        </w:rPr>
      </w:pPr>
      <w:r>
        <w:rPr>
          <w:rStyle w:val="DefaultParagraphFont"/>
          <w:noProof/>
        </w:rPr>
        <w:t xml:space="preserve">In the Phase III efficacy trial, VE was similar between the According-to-protocol and Intention-to-treat populations as well as across case definitions (&gt;0 to &gt;5000 parasites/µl). </w:t>
      </w:r>
      <w:r>
        <w:rPr>
          <w:rStyle w:val="DefaultParagraphFont"/>
          <w:noProof/>
          <w:vertAlign w:val="superscript"/>
        </w:rPr>
        <w:t>(a,b,c)</w:t>
      </w:r>
    </w:p>
    <w:p w:rsidR="004F6B2B" w:rsidP="004F6B2B">
      <w:pPr>
        <w:pStyle w:val="QuestionAns"/>
        <w:rPr>
          <w:rStyle w:val="DefaultParagraphFont"/>
          <w:noProof/>
          <w:sz w:val="20"/>
          <w:szCs w:val="20"/>
        </w:rPr>
      </w:pPr>
      <w:r>
        <w:rPr>
          <w:rStyle w:val="DefaultParagraphFont"/>
          <w:noProof/>
        </w:rPr>
        <w:t xml:space="preserve">Vaccine efficacy was similar in children vaccinated at 5-11 months of age or 12-17 months of age. </w:t>
      </w:r>
      <w:r>
        <w:rPr>
          <w:rStyle w:val="DefaultParagraphFont"/>
          <w:noProof/>
          <w:vertAlign w:val="superscript"/>
        </w:rPr>
        <w:t xml:space="preserve">(c) </w:t>
      </w:r>
      <w:r>
        <w:rPr>
          <w:rStyle w:val="DefaultParagraphFont"/>
          <w:noProof/>
        </w:rPr>
        <w:t>Vaccine efficacy varied between the 11 study sites.</w:t>
      </w:r>
      <w:r>
        <w:rPr>
          <w:rStyle w:val="DefaultParagraphFont"/>
          <w:noProof/>
          <w:vertAlign w:val="superscript"/>
        </w:rPr>
        <w:t>(b)</w:t>
      </w:r>
      <w:r>
        <w:rPr>
          <w:rStyle w:val="DefaultParagraphFont"/>
          <w:noProof/>
        </w:rPr>
        <w:t xml:space="preserve">  This heterogeneity  was statistically significant over the first 20 months of follow-up (range 41-70%) </w:t>
      </w:r>
      <w:r>
        <w:rPr>
          <w:rStyle w:val="DefaultParagraphFont"/>
          <w:noProof/>
          <w:vertAlign w:val="superscript"/>
        </w:rPr>
        <w:t>(b)</w:t>
      </w:r>
      <w:r>
        <w:rPr>
          <w:rStyle w:val="DefaultParagraphFont"/>
          <w:noProof/>
        </w:rPr>
        <w:t xml:space="preserve">, but not when compared over the entire study period. </w:t>
      </w:r>
      <w:r>
        <w:rPr>
          <w:rStyle w:val="DefaultParagraphFont"/>
          <w:noProof/>
          <w:vertAlign w:val="superscript"/>
        </w:rPr>
        <w:t>(c)</w:t>
      </w:r>
    </w:p>
    <w:p w:rsidR="004F6B2B" w:rsidP="004F6B2B">
      <w:pPr>
        <w:pStyle w:val="QuestionAns"/>
        <w:rPr>
          <w:rStyle w:val="DefaultParagraphFont"/>
          <w:noProof/>
          <w:sz w:val="20"/>
          <w:szCs w:val="20"/>
        </w:rPr>
      </w:pPr>
      <w:r>
        <w:rPr>
          <w:rStyle w:val="DefaultParagraphFont"/>
          <w:noProof/>
        </w:rPr>
        <w:t xml:space="preserve">Vaccine efficacy waned over time (p&lt;0.01). </w:t>
      </w:r>
      <w:r>
        <w:rPr>
          <w:rStyle w:val="DefaultParagraphFont"/>
          <w:noProof/>
          <w:vertAlign w:val="superscript"/>
        </w:rPr>
        <w:t xml:space="preserve">(b) </w:t>
      </w:r>
      <w:r>
        <w:rPr>
          <w:rStyle w:val="DefaultParagraphFont"/>
          <w:noProof/>
        </w:rPr>
        <w:t xml:space="preserve">However, efficacy remained statistically significant for clinical malaria over the entire study period. </w:t>
      </w:r>
      <w:r>
        <w:rPr>
          <w:rStyle w:val="DefaultParagraphFont"/>
          <w:noProof/>
          <w:vertAlign w:val="superscript"/>
        </w:rPr>
        <w:t>(c)</w:t>
      </w:r>
    </w:p>
    <w:tbl>
      <w:tblPr>
        <w:tblW w:w="877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581"/>
        <w:gridCol w:w="2103"/>
        <w:gridCol w:w="1959"/>
        <w:gridCol w:w="2103"/>
      </w:tblGrid>
      <w:tr>
        <w:tblPrEx>
          <w:tblW w:w="877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Vaccine efficacy </w:t>
            </w:r>
            <w:r>
              <w:rPr>
                <w:rStyle w:val="DefaultParagraphFont"/>
                <w:noProof/>
              </w:rPr>
              <w:t xml:space="preserve">(as described in European SmPC </w:t>
            </w:r>
            <w:r>
              <w:rPr>
                <w:rStyle w:val="DefaultParagraphFont"/>
                <w:noProof/>
                <w:vertAlign w:val="superscript"/>
              </w:rPr>
              <w:t>(e)</w:t>
            </w:r>
            <w:r>
              <w:rPr>
                <w:rStyle w:val="DefaultParagraphFont"/>
                <w:noProof/>
              </w:rPr>
              <w:t>)</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clinical malaria</w:t>
            </w:r>
            <w:r>
              <w:rPr>
                <w:rStyle w:val="DefaultParagraphFont"/>
                <w:b/>
                <w:bCs/>
                <w:noProof/>
              </w:rPr>
              <w:br/>
            </w:r>
            <w:r>
              <w:rPr>
                <w:rStyle w:val="DefaultParagraphFont"/>
                <w:noProof/>
              </w:rPr>
              <w:t>(95% CI)</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severe malaria</w:t>
            </w:r>
            <w:r>
              <w:rPr>
                <w:rStyle w:val="DefaultParagraphFont"/>
                <w:b/>
                <w:bCs/>
                <w:noProof/>
              </w:rPr>
              <w:br/>
            </w:r>
            <w:r>
              <w:rPr>
                <w:rStyle w:val="DefaultParagraphFont"/>
                <w:noProof/>
              </w:rPr>
              <w:t>(95% CI)</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hospitalisation caused by malaria</w:t>
            </w:r>
            <w:r>
              <w:rPr>
                <w:rStyle w:val="DefaultParagraphFont"/>
                <w:b/>
                <w:bCs/>
                <w:noProof/>
              </w:rPr>
              <w:br/>
            </w:r>
            <w:r>
              <w:rPr>
                <w:rStyle w:val="DefaultParagraphFont"/>
                <w:noProof/>
              </w:rPr>
              <w:t>(95% CI)</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12 months follow-up from dose 3</w:t>
            </w:r>
            <w:r>
              <w:rPr>
                <w:rStyle w:val="DefaultParagraphFont"/>
                <w:b/>
                <w:bCs/>
                <w:noProof/>
              </w:rPr>
              <w:br/>
            </w:r>
            <w:r>
              <w:rPr>
                <w:rStyle w:val="DefaultParagraphFont"/>
                <w:noProof/>
              </w:rPr>
              <w:t>(ATP* cohort, N=6880)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51%</w:t>
            </w:r>
            <w:r>
              <w:rPr>
                <w:rStyle w:val="DefaultParagraphFont"/>
                <w:noProof/>
              </w:rPr>
              <w:br/>
            </w:r>
            <w:r>
              <w:rPr>
                <w:rStyle w:val="DefaultParagraphFont"/>
                <w:noProof/>
              </w:rPr>
              <w:t>(47; 55)</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45%</w:t>
            </w:r>
            <w:r>
              <w:rPr>
                <w:rStyle w:val="DefaultParagraphFont"/>
                <w:noProof/>
              </w:rPr>
              <w:br/>
            </w:r>
            <w:r>
              <w:rPr>
                <w:rStyle w:val="DefaultParagraphFont"/>
                <w:noProof/>
              </w:rPr>
              <w:t>(22; 60)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48%</w:t>
            </w:r>
            <w:r>
              <w:rPr>
                <w:rStyle w:val="DefaultParagraphFont"/>
                <w:noProof/>
              </w:rPr>
              <w:br/>
            </w:r>
            <w:r>
              <w:rPr>
                <w:rStyle w:val="DefaultParagraphFont"/>
                <w:noProof/>
              </w:rPr>
              <w:t>(35; 59)</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18 months follow-up from dose 3</w:t>
            </w:r>
            <w:r>
              <w:rPr>
                <w:rStyle w:val="DefaultParagraphFont"/>
                <w:b/>
                <w:bCs/>
                <w:noProof/>
              </w:rPr>
              <w:br/>
            </w:r>
            <w:r>
              <w:rPr>
                <w:rStyle w:val="DefaultParagraphFont"/>
                <w:noProof/>
              </w:rPr>
              <w:t>(ATP* cohort, N=6885)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46%</w:t>
            </w:r>
            <w:r>
              <w:rPr>
                <w:rStyle w:val="DefaultParagraphFont"/>
                <w:noProof/>
              </w:rPr>
              <w:br/>
            </w:r>
            <w:r>
              <w:rPr>
                <w:rStyle w:val="DefaultParagraphFont"/>
                <w:noProof/>
              </w:rPr>
              <w:t>(42; 49)</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36%</w:t>
            </w:r>
            <w:r>
              <w:rPr>
                <w:rStyle w:val="DefaultParagraphFont"/>
                <w:noProof/>
              </w:rPr>
              <w:br/>
            </w:r>
            <w:r>
              <w:rPr>
                <w:rStyle w:val="DefaultParagraphFont"/>
                <w:noProof/>
              </w:rPr>
              <w:t>(15; 51)</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42%</w:t>
            </w:r>
            <w:r>
              <w:rPr>
                <w:rStyle w:val="DefaultParagraphFont"/>
                <w:noProof/>
              </w:rPr>
              <w:br/>
            </w:r>
            <w:r>
              <w:rPr>
                <w:rStyle w:val="DefaultParagraphFont"/>
                <w:noProof/>
              </w:rPr>
              <w:t>(29; 52)</w:t>
            </w:r>
          </w:p>
        </w:tc>
      </w:tr>
      <w:tr>
        <w:tblPrEx>
          <w:tblW w:w="8775" w:type="dxa"/>
          <w:tblCellSpacing w:w="0" w:type="dxa"/>
          <w:tblInd w:w="16" w:type="dxa"/>
          <w:tblCellMar>
            <w:top w:w="0" w:type="dxa"/>
            <w:left w:w="0" w:type="dxa"/>
            <w:bottom w:w="0" w:type="dxa"/>
            <w:right w:w="0" w:type="dxa"/>
          </w:tblCellMar>
        </w:tblPrEx>
        <w:trPr>
          <w:trHeight w:val="495"/>
          <w:tblCellSpacing w:w="0" w:type="dxa"/>
        </w:trPr>
        <w:tc>
          <w:tcPr>
            <w:tcW w:w="8805"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3 doses only  </w:t>
            </w:r>
            <w:r>
              <w:rPr>
                <w:rStyle w:val="DefaultParagraphFont"/>
                <w:noProof/>
              </w:rPr>
              <w:t>(ATP* cohort, N=6918)</w:t>
            </w:r>
          </w:p>
        </w:tc>
      </w:tr>
      <w:tr>
        <w:tblPrEx>
          <w:tblW w:w="8775" w:type="dxa"/>
          <w:tblCellSpacing w:w="0" w:type="dxa"/>
          <w:tblInd w:w="16" w:type="dxa"/>
          <w:tblCellMar>
            <w:top w:w="0" w:type="dxa"/>
            <w:left w:w="0" w:type="dxa"/>
            <w:bottom w:w="0" w:type="dxa"/>
            <w:right w:w="0" w:type="dxa"/>
          </w:tblCellMar>
        </w:tblPrEx>
        <w:trPr>
          <w:trHeight w:val="765"/>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30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34%</w:t>
            </w:r>
            <w:r>
              <w:rPr>
                <w:rStyle w:val="DefaultParagraphFont"/>
                <w:noProof/>
              </w:rPr>
              <w:br/>
            </w:r>
            <w:r>
              <w:rPr>
                <w:rStyle w:val="DefaultParagraphFont"/>
                <w:noProof/>
              </w:rPr>
              <w:t>(29; 39)</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w:t>
            </w:r>
            <w:r>
              <w:rPr>
                <w:rStyle w:val="DefaultParagraphFont"/>
                <w:noProof/>
              </w:rPr>
              <w:br/>
            </w:r>
            <w:r>
              <w:rPr>
                <w:rStyle w:val="DefaultParagraphFont"/>
                <w:noProof/>
              </w:rPr>
              <w:t>(-28; 25)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18%</w:t>
            </w:r>
            <w:r>
              <w:rPr>
                <w:rStyle w:val="DefaultParagraphFont"/>
                <w:noProof/>
              </w:rPr>
              <w:br/>
            </w:r>
            <w:r>
              <w:rPr>
                <w:rStyle w:val="DefaultParagraphFont"/>
                <w:noProof/>
              </w:rPr>
              <w:t>(1; 32)</w:t>
            </w:r>
          </w:p>
        </w:tc>
      </w:tr>
      <w:tr>
        <w:tblPrEx>
          <w:tblW w:w="8775" w:type="dxa"/>
          <w:tblCellSpacing w:w="0" w:type="dxa"/>
          <w:tblInd w:w="16" w:type="dxa"/>
          <w:tblCellMar>
            <w:top w:w="0" w:type="dxa"/>
            <w:left w:w="0" w:type="dxa"/>
            <w:bottom w:w="0" w:type="dxa"/>
            <w:right w:w="0" w:type="dxa"/>
          </w:tblCellMar>
        </w:tblPrEx>
        <w:trPr>
          <w:trHeight w:val="765"/>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46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26%</w:t>
            </w:r>
            <w:r>
              <w:rPr>
                <w:rStyle w:val="DefaultParagraphFont"/>
                <w:noProof/>
              </w:rPr>
              <w:br/>
            </w:r>
            <w:r>
              <w:rPr>
                <w:rStyle w:val="DefaultParagraphFont"/>
                <w:noProof/>
              </w:rPr>
              <w:t>(21; 31)</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-6%</w:t>
            </w:r>
            <w:r>
              <w:rPr>
                <w:rStyle w:val="DefaultParagraphFont"/>
                <w:noProof/>
              </w:rPr>
              <w:br/>
            </w:r>
            <w:r>
              <w:rPr>
                <w:rStyle w:val="DefaultParagraphFont"/>
                <w:noProof/>
              </w:rPr>
              <w:t>(-35; 17)</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12%</w:t>
            </w:r>
            <w:r>
              <w:rPr>
                <w:rStyle w:val="DefaultParagraphFont"/>
                <w:noProof/>
              </w:rPr>
              <w:br/>
            </w:r>
            <w:r>
              <w:rPr>
                <w:rStyle w:val="DefaultParagraphFont"/>
                <w:noProof/>
              </w:rPr>
              <w:t>(-5; 26)</w:t>
            </w:r>
          </w:p>
        </w:tc>
      </w:tr>
      <w:tr>
        <w:tblPrEx>
          <w:tblW w:w="8775" w:type="dxa"/>
          <w:tblCellSpacing w:w="0" w:type="dxa"/>
          <w:tblInd w:w="16" w:type="dxa"/>
          <w:tblCellMar>
            <w:top w:w="0" w:type="dxa"/>
            <w:left w:w="0" w:type="dxa"/>
            <w:bottom w:w="0" w:type="dxa"/>
            <w:right w:w="0" w:type="dxa"/>
          </w:tblCellMar>
        </w:tblPrEx>
        <w:trPr>
          <w:trHeight w:val="555"/>
          <w:tblCellSpacing w:w="0" w:type="dxa"/>
        </w:trPr>
        <w:tc>
          <w:tcPr>
            <w:tcW w:w="8805"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3 doses + 4</w:t>
            </w:r>
            <w:r>
              <w:rPr>
                <w:rStyle w:val="DefaultParagraphFont"/>
                <w:b/>
                <w:bCs/>
                <w:noProof/>
                <w:vertAlign w:val="superscript"/>
              </w:rPr>
              <w:t>th</w:t>
            </w:r>
            <w:r>
              <w:rPr>
                <w:rStyle w:val="DefaultParagraphFont"/>
                <w:b/>
                <w:bCs/>
                <w:noProof/>
              </w:rPr>
              <w:t xml:space="preserve"> dose </w:t>
            </w:r>
            <w:r>
              <w:rPr>
                <w:rStyle w:val="DefaultParagraphFont"/>
                <w:noProof/>
              </w:rPr>
              <w:t>(ATP* cohort, N=6918)</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30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46%</w:t>
            </w:r>
            <w:r>
              <w:rPr>
                <w:rStyle w:val="DefaultParagraphFont"/>
                <w:noProof/>
              </w:rPr>
              <w:br/>
            </w:r>
            <w:r>
              <w:rPr>
                <w:rStyle w:val="DefaultParagraphFont"/>
                <w:noProof/>
              </w:rPr>
              <w:t>(42; 50)</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32%</w:t>
            </w:r>
            <w:r>
              <w:rPr>
                <w:rStyle w:val="DefaultParagraphFont"/>
                <w:noProof/>
              </w:rPr>
              <w:br/>
            </w:r>
            <w:r>
              <w:rPr>
                <w:rStyle w:val="DefaultParagraphFont"/>
                <w:noProof/>
              </w:rPr>
              <w:t>(10; 50)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40%</w:t>
            </w:r>
            <w:r>
              <w:rPr>
                <w:rStyle w:val="DefaultParagraphFont"/>
                <w:noProof/>
              </w:rPr>
              <w:br/>
            </w:r>
            <w:r>
              <w:rPr>
                <w:rStyle w:val="DefaultParagraphFont"/>
                <w:noProof/>
              </w:rPr>
              <w:t>(26; 52)</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Over 46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39%</w:t>
            </w:r>
            <w:r>
              <w:rPr>
                <w:rStyle w:val="DefaultParagraphFont"/>
                <w:noProof/>
              </w:rPr>
              <w:br/>
            </w:r>
            <w:r>
              <w:rPr>
                <w:rStyle w:val="DefaultParagraphFont"/>
                <w:noProof/>
              </w:rPr>
              <w:t>(34; 43)</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29%</w:t>
            </w:r>
            <w:r>
              <w:rPr>
                <w:rStyle w:val="DefaultParagraphFont"/>
                <w:noProof/>
              </w:rPr>
              <w:br/>
            </w:r>
            <w:r>
              <w:rPr>
                <w:rStyle w:val="DefaultParagraphFont"/>
                <w:noProof/>
              </w:rPr>
              <w:t>(6; 46)</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37%</w:t>
            </w:r>
            <w:r>
              <w:rPr>
                <w:rStyle w:val="DefaultParagraphFont"/>
                <w:noProof/>
              </w:rPr>
              <w:br/>
            </w:r>
            <w:r>
              <w:rPr>
                <w:rStyle w:val="DefaultParagraphFont"/>
                <w:noProof/>
              </w:rPr>
              <w:t>(24; 49)</w:t>
            </w:r>
          </w:p>
        </w:tc>
      </w:tr>
    </w:tbl>
    <w:p w:rsidR="004F6B2B" w:rsidP="004F6B2B">
      <w:pPr>
        <w:pStyle w:val="QuestionAns"/>
        <w:rPr>
          <w:rStyle w:val="DefaultParagraphFont"/>
          <w:noProof/>
          <w:sz w:val="20"/>
          <w:szCs w:val="20"/>
        </w:rPr>
      </w:pPr>
      <w:r>
        <w:rPr>
          <w:rStyle w:val="DefaultParagraphFont"/>
          <w:noProof/>
          <w:sz w:val="15"/>
          <w:szCs w:val="15"/>
        </w:rPr>
        <w:t>*ATP: Subjects who received all vaccinations According-To-Protocol procedures within specified intervals, with period at risk starting 14 days after dose 3, N= total number in all 3 study groups</w:t>
      </w:r>
      <w:r>
        <w:rPr>
          <w:rStyle w:val="DefaultParagraphFont"/>
          <w:noProof/>
          <w:sz w:val="15"/>
          <w:szCs w:val="15"/>
        </w:rPr>
        <w:br/>
      </w:r>
      <w:r>
        <w:rPr>
          <w:rStyle w:val="DefaultParagraphFont"/>
          <w:noProof/>
          <w:sz w:val="15"/>
          <w:szCs w:val="15"/>
        </w:rPr>
        <w:t>** All subjects were followed up over 32 months post dose 1. In addition, follow-up continued until Dec 31, 2013 leading to a median follow-up of 48 months for children post dose 1.</w:t>
      </w:r>
    </w:p>
    <w:p w:rsidR="004F6B2B" w:rsidP="004F6B2B">
      <w:pPr>
        <w:pStyle w:val="QuestionAns"/>
        <w:rPr>
          <w:rStyle w:val="DefaultParagraphFont"/>
          <w:noProof/>
          <w:sz w:val="20"/>
          <w:szCs w:val="20"/>
        </w:rPr>
      </w:pPr>
      <w:r>
        <w:rPr>
          <w:rStyle w:val="DefaultParagraphFont"/>
          <w:noProof/>
        </w:rPr>
        <w:t xml:space="preserve">In children not receiving a booster dose, a negative VE against severe malaria was observed during the follow-up period between month 21 and study end. (-44% [95% CI: -119 to 4]). </w:t>
      </w:r>
      <w:r>
        <w:rPr>
          <w:rStyle w:val="DefaultParagraphFont"/>
          <w:noProof/>
          <w:vertAlign w:val="superscript"/>
        </w:rPr>
        <w:t xml:space="preserve">(c) </w:t>
      </w:r>
      <w:r>
        <w:rPr>
          <w:rStyle w:val="DefaultParagraphFont"/>
          <w:noProof/>
        </w:rPr>
        <w:t>This temporary increase in incidence of severe malaria in children receiving a primary schedule of RTS,S (73 severe malaria cases out of 2,057 children) as compared to controls (48 out of 2,051) could be a chance finding, but could also be compatible with a rebound effect, ie age shift. Such rebound effect has been noted after withdrawal of other malaria preventive interventions, eg seasonal malaria chemoprophylaxis (SMC).</w:t>
      </w:r>
    </w:p>
    <w:p w:rsidR="004F6B2B" w:rsidP="004F6B2B">
      <w:pPr>
        <w:pStyle w:val="QuestionAns"/>
        <w:rPr>
          <w:rStyle w:val="DefaultParagraphFont"/>
          <w:noProof/>
          <w:sz w:val="20"/>
          <w:szCs w:val="20"/>
        </w:rPr>
      </w:pPr>
      <w:r>
        <w:rPr>
          <w:rStyle w:val="DefaultParagraphFont"/>
          <w:noProof/>
        </w:rPr>
        <w:t>Vaccination with RTS,S/AS01 also significantly reduced overall hospital admissions, severe anaemia and the need for blood transfusion, with these protective effects being more marked in those who received a 4</w:t>
      </w:r>
      <w:r>
        <w:rPr>
          <w:rStyle w:val="DefaultParagraphFont"/>
          <w:noProof/>
          <w:vertAlign w:val="superscript"/>
        </w:rPr>
        <w:t>th</w:t>
      </w:r>
      <w:r>
        <w:rPr>
          <w:rStyle w:val="DefaultParagraphFont"/>
          <w:noProof/>
        </w:rPr>
        <w:t xml:space="preserve"> dose.</w:t>
      </w:r>
    </w:p>
    <w:p w:rsidR="004F6B2B" w:rsidP="004F6B2B">
      <w:pPr>
        <w:pStyle w:val="QuestionAns"/>
        <w:rPr>
          <w:rStyle w:val="DefaultParagraphFont"/>
          <w:noProof/>
          <w:sz w:val="20"/>
          <w:szCs w:val="20"/>
        </w:rPr>
      </w:pPr>
      <w:r>
        <w:rPr>
          <w:rStyle w:val="DefaultParagraphFont"/>
          <w:noProof/>
        </w:rPr>
        <w:t xml:space="preserve">VE was not demonstrated against all-cause mortality, malaria mortality, hospitalized pneumonia, septicaemia or prevalent anaemia, childhood nutritional status or growth.. This may, in part, be explained by the very high standard of care throughout the trial and low mortality </w:t>
      </w:r>
      <w:r>
        <w:rPr>
          <w:rStyle w:val="DefaultParagraphFont"/>
          <w:noProof/>
          <w:vertAlign w:val="superscript"/>
        </w:rPr>
        <w:t>(b,c)</w:t>
      </w:r>
    </w:p>
    <w:p w:rsidR="004F6B2B" w:rsidP="004F6B2B">
      <w:pPr>
        <w:pStyle w:val="References"/>
        <w:numPr>
          <w:ilvl w:val="0"/>
          <w:numId w:val="4"/>
        </w:numPr>
        <w:ind w:left="720" w:hanging="220"/>
        <w:rPr>
          <w:rStyle w:val="DefaultParagraphFont"/>
          <w:noProof/>
          <w:sz w:val="16"/>
          <w:szCs w:val="16"/>
        </w:rPr>
      </w:pPr>
      <w:r>
        <w:rPr>
          <w:rStyle w:val="DefaultParagraphFont"/>
          <w:i/>
          <w:iCs/>
          <w:noProof/>
        </w:rPr>
        <w:t>The RTS,S Clinical Trial Partnership. NEJM 2011, 365: 1863-75.</w:t>
      </w:r>
    </w:p>
    <w:p w:rsidR="004F6B2B" w:rsidP="004F6B2B">
      <w:pPr>
        <w:pStyle w:val="References"/>
        <w:numPr>
          <w:ilvl w:val="0"/>
          <w:numId w:val="4"/>
        </w:numPr>
        <w:ind w:left="720" w:hanging="211"/>
        <w:rPr>
          <w:rStyle w:val="DefaultParagraphFont"/>
          <w:noProof/>
          <w:sz w:val="16"/>
          <w:szCs w:val="16"/>
        </w:rPr>
      </w:pPr>
      <w:r>
        <w:rPr>
          <w:rStyle w:val="DefaultParagraphFont"/>
          <w:i/>
          <w:iCs/>
          <w:noProof/>
        </w:rPr>
        <w:t>RTS,S Clinical Trial Partnership. PloS Medicine 2014; doi/10.1371/journal.pmed.1001685</w:t>
      </w:r>
    </w:p>
    <w:p w:rsidR="004F6B2B" w:rsidP="004F6B2B">
      <w:pPr>
        <w:pStyle w:val="References"/>
        <w:numPr>
          <w:ilvl w:val="0"/>
          <w:numId w:val="4"/>
        </w:numPr>
        <w:ind w:left="720" w:hanging="220"/>
        <w:rPr>
          <w:rStyle w:val="DefaultParagraphFont"/>
          <w:noProof/>
          <w:sz w:val="16"/>
          <w:szCs w:val="16"/>
        </w:rPr>
      </w:pPr>
      <w:r>
        <w:rPr>
          <w:rStyle w:val="DefaultParagraphFont"/>
          <w:i/>
          <w:iCs/>
          <w:noProof/>
        </w:rPr>
        <w:t>The RTS,S Clinical Trial Partnership. The Lancet, 2015. dx.doi.org/10.1016/S0140-6736(15)60721-8</w:t>
      </w:r>
    </w:p>
    <w:p w:rsidR="004F6B2B" w:rsidP="004F6B2B">
      <w:pPr>
        <w:pStyle w:val="References"/>
        <w:numPr>
          <w:ilvl w:val="0"/>
          <w:numId w:val="4"/>
        </w:numPr>
        <w:ind w:left="720" w:hanging="211"/>
        <w:rPr>
          <w:rStyle w:val="DefaultParagraphFont"/>
          <w:noProof/>
          <w:sz w:val="16"/>
          <w:szCs w:val="16"/>
        </w:rPr>
      </w:pPr>
      <w:r>
        <w:rPr>
          <w:rStyle w:val="DefaultParagraphFont"/>
          <w:i/>
          <w:iCs/>
          <w:noProof/>
        </w:rPr>
        <w:t>Lusingo, J, PLoS ONE 2010, 5(11): e14090. Doi:10.1371/journal.pone.0014090.</w:t>
      </w:r>
    </w:p>
    <w:p w:rsidR="004F6B2B" w:rsidP="004F6B2B">
      <w:pPr>
        <w:pStyle w:val="References"/>
        <w:numPr>
          <w:ilvl w:val="0"/>
          <w:numId w:val="4"/>
        </w:numPr>
        <w:ind w:left="720" w:hanging="193"/>
        <w:rPr>
          <w:rStyle w:val="DefaultParagraphFont"/>
          <w:noProof/>
          <w:sz w:val="16"/>
          <w:szCs w:val="16"/>
        </w:rPr>
      </w:pPr>
      <w:r>
        <w:rPr>
          <w:rStyle w:val="DefaultParagraphFont"/>
          <w:i/>
          <w:iCs/>
          <w:noProof/>
        </w:rPr>
        <w:t>European Medicines Agency, ema.europa.eu/ema/</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hybridMultilevel"/>
    <w:tmpl w:val="7CD2513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7CD25139"/>
    <w:multiLevelType w:val="multilevel"/>
    <w:tmpl w:val="7CD2513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