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Does the vaccine work equally well across the clinical trial sites (across diverse malaria transmission settings?)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Among children aged 5-17 months at first vaccination, RTS,S provided protection across a wide range of malaria transmission settings. Vaccine efficacy varied between the 11 sites.</w:t>
      </w:r>
      <w:r>
        <w:rPr>
          <w:rStyle w:val="DefaultParagraphFont"/>
          <w:noProof/>
          <w:vertAlign w:val="superscript"/>
        </w:rPr>
        <w:t>(a)</w:t>
      </w:r>
      <w:r>
        <w:rPr>
          <w:rStyle w:val="DefaultParagraphFont"/>
          <w:noProof/>
        </w:rPr>
        <w:t>  This site variation (VE ranging from 40-70%) was statistically significant over the first 20 months of follow-up,</w:t>
      </w:r>
      <w:r>
        <w:rPr>
          <w:rStyle w:val="DefaultParagraphFont"/>
          <w:noProof/>
          <w:vertAlign w:val="superscript"/>
        </w:rPr>
        <w:t>(a)</w:t>
      </w:r>
      <w:r>
        <w:rPr>
          <w:rStyle w:val="DefaultParagraphFont"/>
          <w:noProof/>
        </w:rPr>
        <w:t xml:space="preserve"> but differences in vaccine efficacy between sites were not statistically significant when compared over the entire study period.</w:t>
      </w:r>
      <w:r>
        <w:rPr>
          <w:rStyle w:val="DefaultParagraphFont"/>
          <w:noProof/>
          <w:vertAlign w:val="superscript"/>
        </w:rPr>
        <w:t>(b)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In infants aged 6-12 weeks (at first dose) there is no statistical evidence that VE against clinical malaria varied according to </w:t>
      </w:r>
      <w:r>
        <w:rPr>
          <w:rStyle w:val="DefaultParagraphFont"/>
          <w:i/>
          <w:iCs/>
          <w:noProof/>
        </w:rPr>
        <w:t>P. falciparum</w:t>
      </w:r>
      <w:r>
        <w:rPr>
          <w:rStyle w:val="DefaultParagraphFont"/>
          <w:noProof/>
        </w:rPr>
        <w:t xml:space="preserve"> transmission intensity (Malaria-055). </w:t>
      </w:r>
      <w:r>
        <w:rPr>
          <w:rStyle w:val="DefaultParagraphFont"/>
          <w:noProof/>
          <w:vertAlign w:val="superscript"/>
        </w:rPr>
        <w:t>(b)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Strictly internal use:</w:t>
      </w:r>
      <w:r>
        <w:rPr>
          <w:rStyle w:val="DefaultParagraphFont"/>
          <w:noProof/>
          <w:vertAlign w:val="superscript"/>
        </w:rPr>
        <w:t>(c)</w:t>
      </w:r>
    </w:p>
    <w:tbl>
      <w:tblPr>
        <w:tblW w:w="5000" w:type="pct"/>
        <w:tblCellSpacing w:w="0" w:type="dxa"/>
        <w:tblInd w:w="16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260"/>
        <w:gridCol w:w="1839"/>
        <w:gridCol w:w="2397"/>
      </w:tblGrid>
      <w:tr>
        <w:tblPrEx>
          <w:tblW w:w="5000" w:type="pct"/>
          <w:tblCellSpacing w:w="0" w:type="dxa"/>
          <w:tblInd w:w="16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Children aged 5-17months</w:t>
            </w:r>
            <w:r>
              <w:rPr>
                <w:rStyle w:val="DefaultParagraphFont"/>
                <w:noProof/>
              </w:rPr>
              <w:br/>
            </w:r>
            <w:r>
              <w:rPr>
                <w:rStyle w:val="DefaultParagraphFont"/>
                <w:noProof/>
              </w:rPr>
              <w:t>ATP* cohort</w:t>
            </w:r>
            <w:r>
              <w:rPr>
                <w:rStyle w:val="DefaultParagraphFont"/>
                <w:noProof/>
              </w:rPr>
              <w:br/>
            </w:r>
            <w:r>
              <w:rPr>
                <w:rStyle w:val="DefaultParagraphFont"/>
                <w:noProof/>
              </w:rPr>
              <w:t>30 months of follow-up after dose 3</w:t>
            </w:r>
          </w:p>
        </w:tc>
        <w:tc>
          <w:tcPr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noProof/>
              </w:rPr>
              <w:t>Vaccine efficacy against clinical malaria (95% CI)</w:t>
            </w:r>
          </w:p>
        </w:tc>
      </w:tr>
      <w:tr>
        <w:tblPrEx>
          <w:tblW w:w="5000" w:type="pct"/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</w:tcPr>
          <w:p w:rsidR="004F6B2B">
            <w:pPr>
              <w:rPr>
                <w:rStyle w:val="DefaultParagraphFont"/>
                <w:b/>
                <w:bCs/>
                <w:noProof/>
              </w:rPr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noProof/>
              </w:rPr>
              <w:t>Primary vaccination only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noProof/>
              </w:rPr>
              <w:t>Primary and booster vaccination</w:t>
            </w:r>
          </w:p>
        </w:tc>
      </w:tr>
      <w:tr>
        <w:tblPrEx>
          <w:tblW w:w="5000" w:type="pct"/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Low transmission intensity</w:t>
            </w:r>
            <w:r>
              <w:rPr>
                <w:rStyle w:val="DefaultParagraphFont"/>
                <w:noProof/>
              </w:rPr>
              <w:br/>
            </w:r>
            <w:r>
              <w:rPr>
                <w:rStyle w:val="DefaultParagraphFont"/>
                <w:noProof/>
              </w:rPr>
              <w:t>(Pp** &lt; 5%)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58% (35;73)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58% (35;74)</w:t>
            </w:r>
          </w:p>
        </w:tc>
      </w:tr>
      <w:tr>
        <w:tblPrEx>
          <w:tblW w:w="5000" w:type="pct"/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Moderate transmission intensity</w:t>
            </w:r>
            <w:r>
              <w:rPr>
                <w:rStyle w:val="DefaultParagraphFont"/>
                <w:noProof/>
              </w:rPr>
              <w:br/>
            </w:r>
            <w:r>
              <w:rPr>
                <w:rStyle w:val="DefaultParagraphFont"/>
                <w:noProof/>
              </w:rPr>
              <w:t>(Pp** 5-40%)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39% (30;47)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48% (40;56)</w:t>
            </w:r>
          </w:p>
        </w:tc>
      </w:tr>
      <w:tr>
        <w:tblPrEx>
          <w:tblW w:w="5000" w:type="pct"/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High transmission intensity</w:t>
            </w:r>
            <w:r>
              <w:rPr>
                <w:rStyle w:val="DefaultParagraphFont"/>
                <w:noProof/>
              </w:rPr>
              <w:br/>
            </w:r>
            <w:r>
              <w:rPr>
                <w:rStyle w:val="DefaultParagraphFont"/>
                <w:noProof/>
              </w:rPr>
              <w:t>(Pp** &gt;40%)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28% (21;35)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jc w:val="center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43% (36;49)</w:t>
            </w:r>
          </w:p>
        </w:tc>
      </w:tr>
    </w:tbl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  <w:sz w:val="15"/>
          <w:szCs w:val="15"/>
        </w:rPr>
        <w:t>* According-to-protocol (ATP) cohort: all children immunised according to schedule, N= total number in all 3 study groups</w:t>
      </w:r>
      <w:r>
        <w:rPr>
          <w:rStyle w:val="DefaultParagraphFont"/>
          <w:noProof/>
          <w:sz w:val="15"/>
          <w:szCs w:val="15"/>
        </w:rPr>
        <w:br/>
      </w:r>
      <w:r>
        <w:rPr>
          <w:rStyle w:val="DefaultParagraphFont"/>
          <w:noProof/>
          <w:sz w:val="15"/>
          <w:szCs w:val="15"/>
        </w:rPr>
        <w:t xml:space="preserve">** </w:t>
      </w:r>
      <w:r>
        <w:rPr>
          <w:rStyle w:val="DefaultParagraphFont"/>
          <w:i/>
          <w:iCs/>
          <w:noProof/>
          <w:sz w:val="15"/>
          <w:szCs w:val="15"/>
        </w:rPr>
        <w:t>P. falciparum</w:t>
      </w:r>
      <w:r>
        <w:rPr>
          <w:rStyle w:val="DefaultParagraphFont"/>
          <w:noProof/>
          <w:sz w:val="15"/>
          <w:szCs w:val="15"/>
        </w:rPr>
        <w:t xml:space="preserve"> parasite prevalence (Pp)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RTS,S Clinical Trial Partnership. PloS Medicine 2014; doi/10.1371/journal.pmed.1001685</w:t>
      </w:r>
    </w:p>
    <w:p w:rsidR="004F6B2B" w:rsidP="004F6B2B">
      <w:pPr>
        <w:pStyle w:val="References"/>
        <w:numPr>
          <w:ilvl w:val="0"/>
          <w:numId w:val="3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RTS,S Clinical Trial partnership. The Lancet, 2015. dx.doi.org/10.1016/S0140-6736(15)60721-8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Mosquirix Global Data sheet v03, 2015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