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Did the protective efficacy wane more rapidly in infants 6-12 weeks of age?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There is no evidence that the pattern of waning is different in children and in infants, but the starting point of level of protection post dose-3 is lower in infants than in children, resulting in lower VE estimates and 95%CI overlapping 0 for efficacy against more severe and less frequent forms of the disease at month 18.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