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is the estimated public health impact of RTS,S in view of its moderate efficacy?</w:t>
      </w:r>
    </w:p>
    <w:p w:rsidR="004F6B2B" w:rsidP="004F6B2B">
      <w:pPr>
        <w:pStyle w:val="QuestionAns"/>
        <w:rPr>
          <w:rStyle w:val="DefaultParagraphFont"/>
          <w:noProof/>
          <w:sz w:val="20"/>
          <w:szCs w:val="20"/>
        </w:rPr>
      </w:pPr>
      <w:r>
        <w:rPr>
          <w:rStyle w:val="DefaultParagraphFont"/>
          <w:noProof/>
        </w:rPr>
        <w:t>Due to the significant burden of malaria in sub-Saharan Africa, even a vaccine with moderate efficacy could still provide substantial public health benefit in malaria endemic regions when implemented in addition to existing malaria interventions such as bednets.</w:t>
      </w:r>
    </w:p>
    <w:p w:rsidR="004F6B2B" w:rsidP="004F6B2B">
      <w:pPr>
        <w:pStyle w:val="QuestionAns"/>
        <w:rPr>
          <w:rStyle w:val="DefaultParagraphFont"/>
          <w:noProof/>
          <w:sz w:val="20"/>
          <w:szCs w:val="20"/>
        </w:rPr>
      </w:pPr>
      <w:r>
        <w:rPr>
          <w:rStyle w:val="DefaultParagraphFont"/>
          <w:noProof/>
        </w:rPr>
        <w:t>The results from the phase III efficacy trial indicate that RTS,S “if used correctly, has the potential to prevent millions of cases of malaria”</w:t>
      </w:r>
      <w:r>
        <w:rPr>
          <w:rStyle w:val="DefaultParagraphFont"/>
          <w:noProof/>
          <w:vertAlign w:val="superscript"/>
        </w:rPr>
        <w:t xml:space="preserve"> (b)</w:t>
      </w:r>
      <w:r>
        <w:rPr>
          <w:rStyle w:val="DefaultParagraphFont"/>
          <w:noProof/>
        </w:rPr>
        <w:t>:</w:t>
      </w:r>
    </w:p>
    <w:p w:rsidR="004F6B2B" w:rsidP="004F6B2B">
      <w:pPr>
        <w:pStyle w:val="QuestionAns"/>
        <w:numPr>
          <w:ilvl w:val="0"/>
          <w:numId w:val="3"/>
        </w:numPr>
        <w:ind w:left="720" w:hanging="192"/>
        <w:rPr>
          <w:rStyle w:val="DefaultParagraphFont"/>
          <w:noProof/>
          <w:sz w:val="20"/>
          <w:szCs w:val="20"/>
        </w:rPr>
      </w:pPr>
      <w:r>
        <w:rPr>
          <w:rStyle w:val="DefaultParagraphFont"/>
          <w:noProof/>
        </w:rPr>
        <w:t>Over 4 years of follow-up , an average of 1774 clinical malaria cases were prevented for every 1000 young children vaccinated with 4 doses of RTS,S in the clinical phase III efficacy trial.The cases averted ranged from 205 to 6565 per 1000 vaccinees, being greater in areas of higher malaria transmission.</w:t>
      </w:r>
      <w:r>
        <w:rPr>
          <w:rStyle w:val="DefaultParagraphFont"/>
          <w:noProof/>
          <w:vertAlign w:val="superscript"/>
        </w:rPr>
        <w:t xml:space="preserve"> (b)</w:t>
      </w:r>
    </w:p>
    <w:tbl>
      <w:tblPr>
        <w:tblW w:w="77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3571"/>
        <w:gridCol w:w="2092"/>
        <w:gridCol w:w="2092"/>
      </w:tblGrid>
      <w:tr>
        <w:tblPrEx>
          <w:tblW w:w="77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315"/>
          <w:tblCellSpacing w:w="0" w:type="dxa"/>
        </w:trPr>
        <w:tc>
          <w:tcPr>
            <w:tcW w:w="3555"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Cases averted per 1000 children vaccinated</w:t>
            </w:r>
            <w:r>
              <w:rPr>
                <w:rStyle w:val="DefaultParagraphFont"/>
                <w:noProof/>
              </w:rPr>
              <w:br/>
            </w:r>
            <w:r>
              <w:rPr>
                <w:rStyle w:val="DefaultParagraphFont"/>
                <w:noProof/>
              </w:rPr>
              <w:t xml:space="preserve">(median 48 months follow-up) </w:t>
            </w:r>
            <w:r>
              <w:rPr>
                <w:rStyle w:val="DefaultParagraphFont"/>
                <w:noProof/>
                <w:vertAlign w:val="superscript"/>
              </w:rPr>
              <w:t>(b)</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3 doses</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+ 4</w:t>
            </w:r>
            <w:r>
              <w:rPr>
                <w:rStyle w:val="DefaultParagraphFont"/>
                <w:noProof/>
                <w:vertAlign w:val="superscript"/>
              </w:rPr>
              <w:t>th</w:t>
            </w:r>
            <w:r>
              <w:rPr>
                <w:rStyle w:val="DefaultParagraphFont"/>
                <w:noProof/>
              </w:rPr>
              <w:t xml:space="preserve"> dose</w:t>
            </w:r>
          </w:p>
        </w:tc>
      </w:tr>
      <w:tr>
        <w:tblPrEx>
          <w:tblW w:w="7785" w:type="dxa"/>
          <w:tblCellSpacing w:w="0" w:type="dxa"/>
          <w:tblInd w:w="16" w:type="dxa"/>
          <w:tblCellMar>
            <w:top w:w="0" w:type="dxa"/>
            <w:left w:w="0" w:type="dxa"/>
            <w:bottom w:w="0" w:type="dxa"/>
            <w:right w:w="0" w:type="dxa"/>
          </w:tblCellMar>
        </w:tblPrEx>
        <w:trPr>
          <w:trHeight w:val="435"/>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4F6B2B">
            <w:pPr>
              <w:rPr>
                <w:rStyle w:val="DefaultParagraphFont"/>
                <w:noProof/>
              </w:rPr>
            </w:pP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n </w:t>
            </w:r>
            <w:r>
              <w:rPr>
                <w:rStyle w:val="DefaultParagraphFont"/>
                <w:noProof/>
              </w:rPr>
              <w:t>(LL ; UL)</w:t>
            </w:r>
            <w:r>
              <w:rPr>
                <w:rStyle w:val="DefaultParagraphFont"/>
                <w:noProof/>
              </w:rPr>
              <w:br/>
            </w:r>
            <w:r>
              <w:rPr>
                <w:rStyle w:val="DefaultParagraphFont"/>
                <w:i/>
                <w:iCs/>
                <w:noProof/>
              </w:rPr>
              <w:t>range across sites</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n </w:t>
            </w:r>
            <w:r>
              <w:rPr>
                <w:rStyle w:val="DefaultParagraphFont"/>
                <w:noProof/>
              </w:rPr>
              <w:t>(LL ; UL)</w:t>
            </w:r>
            <w:r>
              <w:rPr>
                <w:rStyle w:val="DefaultParagraphFont"/>
                <w:noProof/>
              </w:rPr>
              <w:br/>
            </w:r>
            <w:r>
              <w:rPr>
                <w:rStyle w:val="DefaultParagraphFont"/>
                <w:i/>
                <w:iCs/>
                <w:noProof/>
              </w:rPr>
              <w:t>range across sites</w:t>
            </w:r>
          </w:p>
        </w:tc>
      </w:tr>
      <w:tr>
        <w:tblPrEx>
          <w:tblW w:w="7785" w:type="dxa"/>
          <w:tblCellSpacing w:w="0" w:type="dxa"/>
          <w:tblInd w:w="16" w:type="dxa"/>
          <w:tblCellMar>
            <w:top w:w="0" w:type="dxa"/>
            <w:left w:w="0" w:type="dxa"/>
            <w:bottom w:w="0" w:type="dxa"/>
            <w:right w:w="0" w:type="dxa"/>
          </w:tblCellMar>
        </w:tblPrEx>
        <w:trPr>
          <w:trHeight w:val="255"/>
          <w:tblCellSpacing w:w="0" w:type="dxa"/>
        </w:trPr>
        <w:tc>
          <w:tcPr>
            <w:tcW w:w="35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Clinical malaria</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1363</w:t>
            </w:r>
            <w:r>
              <w:rPr>
                <w:rStyle w:val="DefaultParagraphFont"/>
                <w:noProof/>
              </w:rPr>
              <w:t xml:space="preserve"> (995 ; 1797)</w:t>
            </w:r>
            <w:r>
              <w:rPr>
                <w:rStyle w:val="DefaultParagraphFont"/>
                <w:noProof/>
              </w:rPr>
              <w:br/>
            </w:r>
            <w:r>
              <w:rPr>
                <w:rStyle w:val="DefaultParagraphFont"/>
                <w:i/>
                <w:iCs/>
                <w:noProof/>
              </w:rPr>
              <w:t>215 to 4443</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1774</w:t>
            </w:r>
            <w:r>
              <w:rPr>
                <w:rStyle w:val="DefaultParagraphFont"/>
                <w:noProof/>
              </w:rPr>
              <w:t xml:space="preserve"> (1387 ; 2186)</w:t>
            </w:r>
            <w:r>
              <w:rPr>
                <w:rStyle w:val="DefaultParagraphFont"/>
                <w:noProof/>
              </w:rPr>
              <w:br/>
            </w:r>
            <w:r>
              <w:rPr>
                <w:rStyle w:val="DefaultParagraphFont"/>
                <w:i/>
                <w:iCs/>
                <w:noProof/>
              </w:rPr>
              <w:t>205 to 6565</w:t>
            </w:r>
            <w:r>
              <w:rPr>
                <w:rStyle w:val="DefaultParagraphFont"/>
                <w:noProof/>
              </w:rPr>
              <w:t xml:space="preserve"> </w:t>
            </w:r>
          </w:p>
          <w:p w:rsidR="004F6B2B" w:rsidP="004F6B2B">
            <w:pPr>
              <w:pStyle w:val="QuestionAns"/>
              <w:jc w:val="center"/>
              <w:rPr>
                <w:rStyle w:val="DefaultParagraphFont"/>
                <w:noProof/>
                <w:sz w:val="20"/>
                <w:szCs w:val="20"/>
              </w:rPr>
            </w:pPr>
            <w:r>
              <w:rPr>
                <w:rStyle w:val="DefaultParagraphFont"/>
                <w:noProof/>
              </w:rPr>
              <w:t> </w:t>
            </w:r>
          </w:p>
        </w:tc>
      </w:tr>
      <w:tr>
        <w:tblPrEx>
          <w:tblW w:w="7785" w:type="dxa"/>
          <w:tblCellSpacing w:w="0" w:type="dxa"/>
          <w:tblInd w:w="16" w:type="dxa"/>
          <w:tblCellMar>
            <w:top w:w="0" w:type="dxa"/>
            <w:left w:w="0" w:type="dxa"/>
            <w:bottom w:w="0" w:type="dxa"/>
            <w:right w:w="0" w:type="dxa"/>
          </w:tblCellMar>
        </w:tblPrEx>
        <w:trPr>
          <w:trHeight w:val="300"/>
          <w:tblCellSpacing w:w="0" w:type="dxa"/>
        </w:trPr>
        <w:tc>
          <w:tcPr>
            <w:tcW w:w="35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Severe malaria </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8 </w:t>
            </w:r>
            <w:r>
              <w:rPr>
                <w:rStyle w:val="DefaultParagraphFont"/>
                <w:noProof/>
              </w:rPr>
              <w:t>(-9 ; 26)</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19 </w:t>
            </w:r>
            <w:r>
              <w:rPr>
                <w:rStyle w:val="DefaultParagraphFont"/>
                <w:noProof/>
              </w:rPr>
              <w:t>(4 ; 35)</w:t>
            </w:r>
          </w:p>
        </w:tc>
      </w:tr>
    </w:tbl>
    <w:p w:rsidR="004F6B2B" w:rsidP="004F6B2B">
      <w:pPr>
        <w:pStyle w:val="QuestionAns"/>
        <w:numPr>
          <w:ilvl w:val="0"/>
          <w:numId w:val="4"/>
        </w:numPr>
        <w:ind w:left="720" w:hanging="192"/>
        <w:rPr>
          <w:rStyle w:val="DefaultParagraphFont"/>
          <w:noProof/>
          <w:sz w:val="20"/>
          <w:szCs w:val="20"/>
        </w:rPr>
      </w:pPr>
      <w:r>
        <w:rPr>
          <w:rStyle w:val="DefaultParagraphFont"/>
          <w:noProof/>
        </w:rPr>
        <w:t>Although vaccine efficacy was lower in infants, meaningful public health impact might still be provided in areas with high disease burden. In the phase III study site with highest malaria incidence, over 3000 clinical malaria cases were prevented over 3 years of follow-up for every 1000 infants receiving 4 doses of RTS,S.</w:t>
      </w:r>
      <w:r>
        <w:rPr>
          <w:rStyle w:val="DefaultParagraphFont"/>
          <w:noProof/>
          <w:vertAlign w:val="superscript"/>
        </w:rPr>
        <w:t xml:space="preserve"> (b)</w:t>
      </w:r>
    </w:p>
    <w:tbl>
      <w:tblPr>
        <w:tblW w:w="77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3571"/>
        <w:gridCol w:w="2092"/>
        <w:gridCol w:w="2092"/>
      </w:tblGrid>
      <w:tr>
        <w:tblPrEx>
          <w:tblW w:w="7785" w:type="dxa"/>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rHeight w:val="315"/>
          <w:tblCellSpacing w:w="0" w:type="dxa"/>
        </w:trPr>
        <w:tc>
          <w:tcPr>
            <w:tcW w:w="3555"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Cases averted per 1000 infants vaccinated</w:t>
            </w:r>
            <w:r>
              <w:rPr>
                <w:rStyle w:val="DefaultParagraphFont"/>
                <w:noProof/>
              </w:rPr>
              <w:br/>
            </w:r>
            <w:r>
              <w:rPr>
                <w:rStyle w:val="DefaultParagraphFont"/>
                <w:noProof/>
              </w:rPr>
              <w:t xml:space="preserve">(median 38 months follow-up) </w:t>
            </w:r>
            <w:r>
              <w:rPr>
                <w:rStyle w:val="DefaultParagraphFont"/>
                <w:noProof/>
                <w:vertAlign w:val="superscript"/>
              </w:rPr>
              <w:t>(b)</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3 doses</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+ 4</w:t>
            </w:r>
            <w:r>
              <w:rPr>
                <w:rStyle w:val="DefaultParagraphFont"/>
                <w:b/>
                <w:bCs/>
                <w:noProof/>
                <w:vertAlign w:val="superscript"/>
              </w:rPr>
              <w:t>th</w:t>
            </w:r>
            <w:r>
              <w:rPr>
                <w:rStyle w:val="DefaultParagraphFont"/>
                <w:b/>
                <w:bCs/>
                <w:noProof/>
              </w:rPr>
              <w:t xml:space="preserve"> dose</w:t>
            </w:r>
          </w:p>
        </w:tc>
      </w:tr>
      <w:tr>
        <w:tblPrEx>
          <w:tblW w:w="7785" w:type="dxa"/>
          <w:tblCellSpacing w:w="0" w:type="dxa"/>
          <w:tblInd w:w="16" w:type="dxa"/>
          <w:tblCellMar>
            <w:top w:w="0" w:type="dxa"/>
            <w:left w:w="0" w:type="dxa"/>
            <w:bottom w:w="0" w:type="dxa"/>
            <w:right w:w="0" w:type="dxa"/>
          </w:tblCellMar>
        </w:tblPrEx>
        <w:trPr>
          <w:trHeight w:val="435"/>
          <w:tblCellSpacing w:w="0" w:type="dxa"/>
        </w:trPr>
        <w:tc>
          <w:tcPr>
            <w:vMerge/>
            <w:tcBorders>
              <w:top w:val="inset" w:sz="6" w:space="0" w:color="808080"/>
              <w:left w:val="inset" w:sz="6" w:space="0" w:color="808080"/>
              <w:bottom w:val="inset" w:sz="6" w:space="0" w:color="808080"/>
              <w:right w:val="inset" w:sz="6" w:space="0" w:color="808080"/>
            </w:tcBorders>
            <w:vAlign w:val="center"/>
          </w:tcPr>
          <w:p w:rsidR="004F6B2B">
            <w:pPr>
              <w:rPr>
                <w:rStyle w:val="DefaultParagraphFont"/>
                <w:b/>
                <w:bCs/>
                <w:noProof/>
              </w:rPr>
            </w:pP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n </w:t>
            </w:r>
            <w:r>
              <w:rPr>
                <w:rStyle w:val="DefaultParagraphFont"/>
                <w:noProof/>
              </w:rPr>
              <w:t>(LL ; UL)</w:t>
            </w:r>
            <w:r>
              <w:rPr>
                <w:rStyle w:val="DefaultParagraphFont"/>
                <w:noProof/>
              </w:rPr>
              <w:br/>
            </w:r>
            <w:r>
              <w:rPr>
                <w:rStyle w:val="DefaultParagraphFont"/>
                <w:i/>
                <w:iCs/>
                <w:noProof/>
              </w:rPr>
              <w:t>range across sites</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n </w:t>
            </w:r>
            <w:r>
              <w:rPr>
                <w:rStyle w:val="DefaultParagraphFont"/>
                <w:noProof/>
              </w:rPr>
              <w:t>(LL ; UL)</w:t>
            </w:r>
            <w:r>
              <w:rPr>
                <w:rStyle w:val="DefaultParagraphFont"/>
                <w:noProof/>
              </w:rPr>
              <w:br/>
            </w:r>
            <w:r>
              <w:rPr>
                <w:rStyle w:val="DefaultParagraphFont"/>
                <w:i/>
                <w:iCs/>
                <w:noProof/>
              </w:rPr>
              <w:t>range across sites</w:t>
            </w:r>
          </w:p>
        </w:tc>
      </w:tr>
      <w:tr>
        <w:tblPrEx>
          <w:tblW w:w="7785" w:type="dxa"/>
          <w:tblCellSpacing w:w="0" w:type="dxa"/>
          <w:tblInd w:w="16" w:type="dxa"/>
          <w:tblCellMar>
            <w:top w:w="0" w:type="dxa"/>
            <w:left w:w="0" w:type="dxa"/>
            <w:bottom w:w="0" w:type="dxa"/>
            <w:right w:w="0" w:type="dxa"/>
          </w:tblCellMar>
        </w:tblPrEx>
        <w:trPr>
          <w:trHeight w:val="255"/>
          <w:tblCellSpacing w:w="0" w:type="dxa"/>
        </w:trPr>
        <w:tc>
          <w:tcPr>
            <w:tcW w:w="35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Clinical malaria</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558</w:t>
            </w:r>
            <w:r>
              <w:rPr>
                <w:rStyle w:val="DefaultParagraphFont"/>
                <w:noProof/>
              </w:rPr>
              <w:t>(158 ; 926)</w:t>
            </w:r>
            <w:r>
              <w:rPr>
                <w:rStyle w:val="DefaultParagraphFont"/>
                <w:noProof/>
              </w:rPr>
              <w:br/>
            </w:r>
            <w:r>
              <w:rPr>
                <w:rStyle w:val="DefaultParagraphFont"/>
                <w:i/>
                <w:iCs/>
                <w:noProof/>
              </w:rPr>
              <w:t>-172 to 2178</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983</w:t>
            </w:r>
            <w:r>
              <w:rPr>
                <w:rStyle w:val="DefaultParagraphFont"/>
                <w:noProof/>
              </w:rPr>
              <w:t>(592 ; 1337)</w:t>
            </w:r>
            <w:r>
              <w:rPr>
                <w:rStyle w:val="DefaultParagraphFont"/>
                <w:noProof/>
              </w:rPr>
              <w:br/>
            </w:r>
            <w:r>
              <w:rPr>
                <w:rStyle w:val="DefaultParagraphFont"/>
                <w:i/>
                <w:iCs/>
                <w:noProof/>
              </w:rPr>
              <w:t>-30 to 3406</w:t>
            </w:r>
          </w:p>
        </w:tc>
      </w:tr>
      <w:tr>
        <w:tblPrEx>
          <w:tblW w:w="7785" w:type="dxa"/>
          <w:tblCellSpacing w:w="0" w:type="dxa"/>
          <w:tblInd w:w="16" w:type="dxa"/>
          <w:tblCellMar>
            <w:top w:w="0" w:type="dxa"/>
            <w:left w:w="0" w:type="dxa"/>
            <w:bottom w:w="0" w:type="dxa"/>
            <w:right w:w="0" w:type="dxa"/>
          </w:tblCellMar>
        </w:tblPrEx>
        <w:trPr>
          <w:trHeight w:val="345"/>
          <w:tblCellSpacing w:w="0" w:type="dxa"/>
        </w:trPr>
        <w:tc>
          <w:tcPr>
            <w:tcW w:w="35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Severe malaria </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8</w:t>
            </w:r>
            <w:r>
              <w:rPr>
                <w:rStyle w:val="DefaultParagraphFont"/>
                <w:noProof/>
              </w:rPr>
              <w:t xml:space="preserve"> (-13 ; 28)</w:t>
            </w:r>
          </w:p>
        </w:tc>
        <w:tc>
          <w:tcPr>
            <w:tcW w:w="214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12 (-6 ; 32) </w:t>
            </w:r>
          </w:p>
        </w:tc>
      </w:tr>
    </w:tbl>
    <w:p w:rsidR="004F6B2B" w:rsidP="004F6B2B">
      <w:pPr>
        <w:pStyle w:val="QuestionAns"/>
        <w:rPr>
          <w:rStyle w:val="DefaultParagraphFont"/>
          <w:noProof/>
          <w:sz w:val="20"/>
          <w:szCs w:val="20"/>
        </w:rPr>
      </w:pPr>
      <w:r>
        <w:rPr>
          <w:rStyle w:val="DefaultParagraphFont"/>
          <w:noProof/>
        </w:rPr>
        <w:t xml:space="preserve">Modelling predicts that four doses of RTS,S could prevent roughly 484 malaria deaths per 100,000 vaccinated young children over an initial 15-year period when introduced on top of existing control programs. </w:t>
      </w:r>
      <w:r>
        <w:rPr>
          <w:rStyle w:val="DefaultParagraphFont"/>
          <w:noProof/>
          <w:vertAlign w:val="superscript"/>
        </w:rPr>
        <w:t>(c)</w:t>
      </w:r>
    </w:p>
    <w:p w:rsidR="004F6B2B" w:rsidP="004F6B2B">
      <w:pPr>
        <w:pStyle w:val="QuestionAns"/>
        <w:numPr>
          <w:ilvl w:val="0"/>
          <w:numId w:val="5"/>
        </w:numPr>
        <w:ind w:left="720" w:hanging="192"/>
        <w:rPr>
          <w:rStyle w:val="DefaultParagraphFont"/>
          <w:noProof/>
          <w:sz w:val="20"/>
          <w:szCs w:val="20"/>
        </w:rPr>
      </w:pPr>
      <w:r>
        <w:rPr>
          <w:rStyle w:val="DefaultParagraphFont"/>
          <w:noProof/>
        </w:rPr>
        <w:t xml:space="preserve">Model predictions were made based on the final phase 3 efficacy results </w:t>
      </w:r>
      <w:r>
        <w:rPr>
          <w:rStyle w:val="DefaultParagraphFont"/>
          <w:noProof/>
          <w:vertAlign w:val="superscript"/>
        </w:rPr>
        <w:t>(b)</w:t>
      </w:r>
      <w:r>
        <w:rPr>
          <w:rStyle w:val="DefaultParagraphFont"/>
          <w:noProof/>
        </w:rPr>
        <w:t xml:space="preserve"> by four different groups. Estimations were generated assuming a vaccination program starting in 2017 across a range of estimated parasite prevalence among 2-to-10 year-olds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and access to treatment of 45%. Vaccination was done at the ages of 6, 7.5 and 9 months (90% coverage for 3rd dose) and a 4th dose at age 27 months (72% coverage, i.e., 80% of dose 3). </w:t>
      </w:r>
      <w:r>
        <w:rPr>
          <w:rStyle w:val="DefaultParagraphFont"/>
          <w:noProof/>
          <w:vertAlign w:val="superscript"/>
        </w:rPr>
        <w:t>(c)</w:t>
      </w:r>
    </w:p>
    <w:p w:rsidR="004F6B2B" w:rsidP="004F6B2B">
      <w:pPr>
        <w:pStyle w:val="QuestionAns"/>
        <w:numPr>
          <w:ilvl w:val="0"/>
          <w:numId w:val="5"/>
        </w:numPr>
        <w:ind w:left="720" w:hanging="192"/>
        <w:rPr>
          <w:rStyle w:val="DefaultParagraphFont"/>
          <w:noProof/>
          <w:sz w:val="20"/>
          <w:szCs w:val="20"/>
        </w:rPr>
      </w:pPr>
      <w:r>
        <w:rPr>
          <w:rStyle w:val="DefaultParagraphFont"/>
          <w:noProof/>
        </w:rPr>
        <w:t xml:space="preserve">Over a 15-year period in settings of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of 10-65%, 4 doses of RTS,S would: </w:t>
      </w:r>
    </w:p>
    <w:p w:rsidR="004F6B2B" w:rsidP="004F6B2B">
      <w:pPr>
        <w:pStyle w:val="QuestionAns"/>
        <w:numPr>
          <w:ilvl w:val="1"/>
          <w:numId w:val="5"/>
        </w:numPr>
        <w:ind w:left="1440" w:hanging="220"/>
        <w:rPr>
          <w:rStyle w:val="DefaultParagraphFont"/>
          <w:noProof/>
          <w:sz w:val="20"/>
          <w:szCs w:val="20"/>
        </w:rPr>
      </w:pPr>
      <w:r>
        <w:rPr>
          <w:rStyle w:val="DefaultParagraphFont"/>
          <w:noProof/>
        </w:rPr>
        <w:t>Avert 484 (189-859) malaria-related deaths per 100,000 vaccinated children</w:t>
      </w:r>
    </w:p>
    <w:p w:rsidR="004F6B2B" w:rsidP="004F6B2B">
      <w:pPr>
        <w:pStyle w:val="QuestionAns"/>
        <w:numPr>
          <w:ilvl w:val="1"/>
          <w:numId w:val="5"/>
        </w:numPr>
        <w:ind w:left="1440" w:hanging="220"/>
        <w:rPr>
          <w:rStyle w:val="DefaultParagraphFont"/>
          <w:noProof/>
          <w:sz w:val="20"/>
          <w:szCs w:val="20"/>
        </w:rPr>
      </w:pPr>
      <w:r>
        <w:rPr>
          <w:rStyle w:val="DefaultParagraphFont"/>
          <w:noProof/>
        </w:rPr>
        <w:t>Avert 116,480 (31,450-160,410) clinical cases</w:t>
      </w:r>
    </w:p>
    <w:p w:rsidR="004F6B2B" w:rsidP="004F6B2B">
      <w:pPr>
        <w:pStyle w:val="QuestionAns"/>
        <w:numPr>
          <w:ilvl w:val="0"/>
          <w:numId w:val="5"/>
        </w:numPr>
        <w:ind w:left="720" w:hanging="192"/>
        <w:rPr>
          <w:rStyle w:val="DefaultParagraphFont"/>
          <w:noProof/>
          <w:sz w:val="20"/>
          <w:szCs w:val="20"/>
        </w:rPr>
      </w:pPr>
      <w:r>
        <w:rPr>
          <w:rStyle w:val="DefaultParagraphFont"/>
          <w:noProof/>
        </w:rPr>
        <w:t xml:space="preserve">Public health impact of RTS,S is projected to be greatest in settings of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 10%, although positive even at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of 5-10% and reasonably predicted by using the mean </w:t>
      </w:r>
      <w:r>
        <w:rPr>
          <w:rStyle w:val="DefaultParagraphFont"/>
          <w:i/>
          <w:iCs/>
          <w:noProof/>
        </w:rPr>
        <w:t>Pf</w:t>
      </w:r>
      <w:r>
        <w:rPr>
          <w:rStyle w:val="DefaultParagraphFont"/>
          <w:noProof/>
        </w:rPr>
        <w:t>PR</w:t>
      </w:r>
      <w:r>
        <w:rPr>
          <w:rStyle w:val="DefaultParagraphFont"/>
          <w:noProof/>
          <w:vertAlign w:val="subscript"/>
        </w:rPr>
        <w:t>2-10</w:t>
      </w:r>
      <w:r>
        <w:rPr>
          <w:rStyle w:val="DefaultParagraphFont"/>
          <w:noProof/>
        </w:rPr>
        <w:t xml:space="preserve"> in a country. </w:t>
      </w:r>
    </w:p>
    <w:p w:rsidR="004F6B2B" w:rsidP="004F6B2B">
      <w:pPr>
        <w:pStyle w:val="QuestionAns"/>
        <w:numPr>
          <w:ilvl w:val="1"/>
          <w:numId w:val="6"/>
        </w:numPr>
        <w:ind w:left="1440" w:hanging="220"/>
        <w:rPr>
          <w:rStyle w:val="DefaultParagraphFont"/>
          <w:noProof/>
          <w:sz w:val="20"/>
          <w:szCs w:val="20"/>
        </w:rPr>
      </w:pPr>
      <w:r>
        <w:rPr>
          <w:rStyle w:val="DefaultParagraphFont"/>
          <w:noProof/>
        </w:rPr>
        <w:t xml:space="preserve">The impact by prevalence setting can be visualized on Malaria maps through the gsk web platform </w:t>
      </w:r>
      <w:r>
        <w:rPr>
          <w:rStyle w:val="DefaultParagraphFont"/>
          <w:noProof/>
        </w:rPr>
        <w:fldChar w:fldCharType="begin"/>
      </w:r>
      <w:r>
        <w:rPr>
          <w:rStyle w:val="DefaultParagraphFont"/>
          <w:noProof/>
        </w:rPr>
        <w:instrText xml:space="preserve"> HYPERLINK "http://www.gskmodelsonweb.be/models/66" \l "/models/66" </w:instrText>
      </w:r>
      <w:r>
        <w:rPr>
          <w:rStyle w:val="DefaultParagraphFont"/>
          <w:noProof/>
        </w:rPr>
        <w:fldChar w:fldCharType="separate"/>
      </w:r>
      <w:r>
        <w:rPr>
          <w:rStyle w:val="DefaultParagraphFont"/>
          <w:noProof/>
          <w:color w:val="0000FF"/>
        </w:rPr>
        <w:t>www.gskmodelsonweb.be/models/66#/models/66</w:t>
      </w:r>
      <w:r>
        <w:rPr>
          <w:rStyle w:val="DefaultParagraphFont"/>
          <w:noProof/>
          <w:color w:val="0000FF"/>
        </w:rPr>
        <w:fldChar w:fldCharType="end"/>
      </w:r>
    </w:p>
    <w:p w:rsidR="004F6B2B" w:rsidP="004F6B2B">
      <w:pPr>
        <w:pStyle w:val="QuestionAns"/>
        <w:numPr>
          <w:ilvl w:val="0"/>
          <w:numId w:val="5"/>
        </w:numPr>
        <w:ind w:left="720" w:hanging="192"/>
        <w:rPr>
          <w:rStyle w:val="DefaultParagraphFont"/>
          <w:noProof/>
          <w:sz w:val="20"/>
          <w:szCs w:val="20"/>
        </w:rPr>
      </w:pPr>
      <w:r>
        <w:rPr>
          <w:rStyle w:val="DefaultParagraphFont"/>
          <w:noProof/>
        </w:rPr>
        <w:t>Other influencing factors on the modelling estimates of overall public health impact were: vaccine efficacy profile, vaccine coverage in real-life settings, changes in insecticide resistance, or anti-malarial resistance, changes in access to treatment.</w:t>
      </w:r>
    </w:p>
    <w:p w:rsidR="004F6B2B" w:rsidP="004F6B2B">
      <w:pPr>
        <w:pStyle w:val="References"/>
        <w:numPr>
          <w:ilvl w:val="0"/>
          <w:numId w:val="7"/>
        </w:numPr>
        <w:ind w:left="720" w:hanging="220"/>
        <w:rPr>
          <w:rStyle w:val="DefaultParagraphFont"/>
          <w:noProof/>
          <w:sz w:val="16"/>
          <w:szCs w:val="16"/>
        </w:rPr>
      </w:pPr>
      <w:r>
        <w:rPr>
          <w:rStyle w:val="DefaultParagraphFont"/>
          <w:i/>
          <w:iCs/>
          <w:noProof/>
        </w:rPr>
        <w:t>Madhi S. et al. NEJM 2010; 362: 289-98.</w:t>
      </w:r>
    </w:p>
    <w:p w:rsidR="004F6B2B" w:rsidP="004F6B2B">
      <w:pPr>
        <w:pStyle w:val="References"/>
        <w:numPr>
          <w:ilvl w:val="0"/>
          <w:numId w:val="7"/>
        </w:numPr>
        <w:ind w:left="720" w:hanging="211"/>
        <w:rPr>
          <w:rStyle w:val="DefaultParagraphFont"/>
          <w:noProof/>
          <w:sz w:val="16"/>
          <w:szCs w:val="16"/>
        </w:rPr>
      </w:pPr>
      <w:r>
        <w:rPr>
          <w:rStyle w:val="DefaultParagraphFont"/>
          <w:i/>
          <w:iCs/>
          <w:noProof/>
        </w:rPr>
        <w:t>RTS,S Clinical Trial Partnership. The Lancet,2015. dx.doi.org/10.1016/S0140-6736(15)60721-8</w:t>
      </w:r>
    </w:p>
    <w:p w:rsidR="004F6B2B" w:rsidP="004F6B2B">
      <w:pPr>
        <w:pStyle w:val="References"/>
        <w:numPr>
          <w:ilvl w:val="0"/>
          <w:numId w:val="7"/>
        </w:numPr>
        <w:ind w:left="720" w:hanging="220"/>
        <w:rPr>
          <w:rStyle w:val="DefaultParagraphFont"/>
          <w:noProof/>
          <w:sz w:val="16"/>
          <w:szCs w:val="16"/>
        </w:rPr>
      </w:pPr>
      <w:r>
        <w:rPr>
          <w:rStyle w:val="DefaultParagraphFont"/>
          <w:i/>
          <w:iCs/>
          <w:noProof/>
        </w:rPr>
        <w:t>Penny et al, Lancet 2015 ; dx.doi.org/10.1016/S0140-6736(15)00725-4</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hybridMultilevel"/>
    <w:tmpl w:val="7CD2513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7CD25139"/>
    <w:multiLevelType w:val="hybridMultilevel"/>
    <w:tmpl w:val="7CD2513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7CD2513A"/>
    <w:multiLevelType w:val="hybridMultilevel"/>
    <w:tmpl w:val="7CD2513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7CD2513B"/>
    <w:multiLevelType w:val="hybridMultilevel"/>
    <w:tmpl w:val="7CD2513B"/>
    <w:lvl w:ilvl="0">
      <w:start w:val="1"/>
      <w:numFmt w:val="bullet"/>
      <w:lvlText w:val="o"/>
      <w:lvlJc w:val="left"/>
      <w:pPr>
        <w:tabs>
          <w:tab w:val="num" w:pos="720"/>
        </w:tabs>
        <w:ind w:left="720" w:hanging="360"/>
      </w:pPr>
      <w:rPr>
        <w:rFonts w:ascii="Courier New" w:hAnsi="Courier New"/>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7CD2513C"/>
    <w:multiLevelType w:val="multilevel"/>
    <w:tmpl w:val="7CD2513C"/>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