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What is the overall safety profile of RTS,S across the Phase II and Phase III programme?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More than 11,000 children have been vaccinated with RTS,S/AS01 in the Phase II and Phase III trials and, to date, the vaccine was shown to have an overall acceptable tolerability and safety profile</w:t>
      </w:r>
      <w:r>
        <w:rPr>
          <w:rStyle w:val="DefaultParagraphFont"/>
          <w:noProof/>
          <w:vertAlign w:val="superscript"/>
        </w:rPr>
        <w:t>(a,b,c,d)</w:t>
      </w:r>
      <w:r>
        <w:rPr>
          <w:rStyle w:val="DefaultParagraphFont"/>
          <w:noProof/>
        </w:rPr>
        <w:t>.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b/>
          <w:bCs/>
          <w:noProof/>
        </w:rPr>
        <w:t>The most commonly reported adverse reactions were fever (27%), irritability (14%) and injection site reactions such as pain (16%) and swelling (7%)</w:t>
      </w:r>
    </w:p>
    <w:p w:rsidR="004F6B2B" w:rsidP="004F6B2B">
      <w:pPr>
        <w:pStyle w:val="QuestionAns"/>
        <w:numPr>
          <w:ilvl w:val="0"/>
          <w:numId w:val="3"/>
        </w:numPr>
        <w:ind w:left="72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Very few of these reactions were of severe intensity.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b/>
          <w:bCs/>
          <w:noProof/>
        </w:rPr>
        <w:t>The most serious adverse reaction was febrile convulsions (within 7 days post-vaccination) (0.1%)</w:t>
      </w:r>
    </w:p>
    <w:p w:rsidR="004F6B2B" w:rsidP="004F6B2B">
      <w:pPr>
        <w:pStyle w:val="QuestionAns"/>
        <w:numPr>
          <w:ilvl w:val="0"/>
          <w:numId w:val="4"/>
        </w:numPr>
        <w:ind w:left="72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 xml:space="preserve">Within 7 days after the first 3 doses,the incidence of febrile convulsion per 1000 doses was: </w:t>
      </w:r>
    </w:p>
    <w:p w:rsidR="004F6B2B" w:rsidP="004F6B2B">
      <w:pPr>
        <w:pStyle w:val="QuestionAns"/>
        <w:numPr>
          <w:ilvl w:val="1"/>
          <w:numId w:val="4"/>
        </w:numPr>
        <w:ind w:left="1440" w:hanging="220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in the children category (aged 5-17 months at time of first dose):1.04 in the RTS,S group and 0.57 in the control, for a risk ratio of 1.8 (95% CI, 0.6 to 4.9)</w:t>
      </w:r>
    </w:p>
    <w:p w:rsidR="004F6B2B" w:rsidP="004F6B2B">
      <w:pPr>
        <w:pStyle w:val="QuestionAns"/>
        <w:numPr>
          <w:ilvl w:val="1"/>
          <w:numId w:val="4"/>
        </w:numPr>
        <w:ind w:left="1440" w:hanging="220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In the infants category (aged 6-12 weeks at time of first dose): no increased risk of febrile convulsion was observed after the 3 first doses, which is coherent with the peak of incidence of febrile convulsion (18 months of age)</w:t>
      </w:r>
    </w:p>
    <w:p w:rsidR="004F6B2B" w:rsidP="004F6B2B">
      <w:pPr>
        <w:pStyle w:val="QuestionAns"/>
        <w:numPr>
          <w:ilvl w:val="0"/>
          <w:numId w:val="4"/>
        </w:numPr>
        <w:ind w:left="72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Within the 7 days after the 4</w:t>
      </w:r>
      <w:r>
        <w:rPr>
          <w:rStyle w:val="DefaultParagraphFont"/>
          <w:noProof/>
          <w:vertAlign w:val="superscript"/>
        </w:rPr>
        <w:t>th</w:t>
      </w:r>
      <w:r>
        <w:rPr>
          <w:rStyle w:val="DefaultParagraphFont"/>
          <w:noProof/>
        </w:rPr>
        <w:t xml:space="preserve"> dose, the incidence of febrile convulsions per 1000 doses was: </w:t>
      </w:r>
    </w:p>
    <w:p w:rsidR="004F6B2B" w:rsidP="004F6B2B">
      <w:pPr>
        <w:pStyle w:val="QuestionAns"/>
        <w:numPr>
          <w:ilvl w:val="1"/>
          <w:numId w:val="5"/>
        </w:numPr>
        <w:ind w:left="1440" w:hanging="220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in the children category: 2.5 in the R3R group, 1.2 in the R3C group, and 0.4 in the C3C group</w:t>
      </w:r>
    </w:p>
    <w:p w:rsidR="004F6B2B" w:rsidP="004F6B2B">
      <w:pPr>
        <w:pStyle w:val="QuestionAns"/>
        <w:numPr>
          <w:ilvl w:val="1"/>
          <w:numId w:val="5"/>
        </w:numPr>
        <w:ind w:left="1440" w:hanging="220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in the infants category: 2.2 in the R3R group, 0.0 in the R3C group, and 0.5 in the C3C group</w:t>
      </w:r>
    </w:p>
    <w:p w:rsidR="004F6B2B" w:rsidP="004F6B2B">
      <w:pPr>
        <w:pStyle w:val="QuestionAns"/>
        <w:numPr>
          <w:ilvl w:val="1"/>
          <w:numId w:val="5"/>
        </w:numPr>
        <w:ind w:left="1440" w:hanging="220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Over 30 days post vaccination, the overall rates of febrile convulsions were similar between groups</w:t>
      </w:r>
    </w:p>
    <w:p w:rsidR="004F6B2B" w:rsidP="004F6B2B">
      <w:pPr>
        <w:pStyle w:val="QuestionAns"/>
        <w:numPr>
          <w:ilvl w:val="1"/>
          <w:numId w:val="5"/>
        </w:numPr>
        <w:ind w:left="1440" w:hanging="220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Adverse reactions reported are listed according to the following frequency</w:t>
      </w:r>
      <w:r>
        <w:rPr>
          <w:rStyle w:val="DefaultParagraphFont"/>
          <w:noProof/>
          <w:vertAlign w:val="superscript"/>
        </w:rPr>
        <w:t>(e)</w:t>
      </w:r>
      <w:r>
        <w:rPr>
          <w:rStyle w:val="DefaultParagraphFont"/>
          <w:noProof/>
        </w:rPr>
        <w:t xml:space="preserve">: </w:t>
      </w:r>
    </w:p>
    <w:p w:rsidR="004F6B2B" w:rsidP="004F6B2B">
      <w:pPr>
        <w:pStyle w:val="QuestionAns"/>
        <w:numPr>
          <w:ilvl w:val="2"/>
          <w:numId w:val="5"/>
        </w:numPr>
        <w:ind w:left="216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Very common ≥ 1/10</w:t>
      </w:r>
    </w:p>
    <w:p w:rsidR="004F6B2B" w:rsidP="004F6B2B">
      <w:pPr>
        <w:pStyle w:val="QuestionAns"/>
        <w:numPr>
          <w:ilvl w:val="2"/>
          <w:numId w:val="5"/>
        </w:numPr>
        <w:ind w:left="216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Common ≥ 1/100 to &lt; 1/10</w:t>
      </w:r>
    </w:p>
    <w:p w:rsidR="004F6B2B" w:rsidP="004F6B2B">
      <w:pPr>
        <w:pStyle w:val="QuestionAns"/>
        <w:numPr>
          <w:ilvl w:val="2"/>
          <w:numId w:val="5"/>
        </w:numPr>
        <w:ind w:left="216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Uncommon ≥ 1/1000 to &lt; 1/100</w:t>
      </w:r>
    </w:p>
    <w:tbl>
      <w:tblPr>
        <w:tblCellSpacing w:w="0" w:type="dxa"/>
        <w:tblInd w:w="16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436"/>
        <w:gridCol w:w="1811"/>
        <w:gridCol w:w="3811"/>
      </w:tblGrid>
      <w:tr>
        <w:tblPrEx>
          <w:tblCellSpacing w:w="0" w:type="dxa"/>
          <w:tblInd w:w="16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tcW w:w="34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noProof/>
              </w:rPr>
              <w:t>System Organ Class</w:t>
            </w:r>
          </w:p>
        </w:tc>
        <w:tc>
          <w:tcPr>
            <w:tcW w:w="16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noProof/>
              </w:rPr>
              <w:t>Frequency</w:t>
            </w:r>
          </w:p>
        </w:tc>
        <w:tc>
          <w:tcPr>
            <w:tcW w:w="37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noProof/>
              </w:rPr>
              <w:t>Adverse reactions</w:t>
            </w:r>
          </w:p>
        </w:tc>
      </w:tr>
      <w:tr>
        <w:tblPrEx>
          <w:tblCellSpacing w:w="0" w:type="dxa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tcW w:w="34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Metabolism and nutrition disorders</w:t>
            </w:r>
          </w:p>
        </w:tc>
        <w:tc>
          <w:tcPr>
            <w:tcW w:w="16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Common</w:t>
            </w:r>
            <w:r>
              <w:rPr>
                <w:rStyle w:val="DefaultParagraphFont"/>
                <w:noProof/>
              </w:rPr>
              <w:br/>
            </w:r>
            <w:r>
              <w:rPr>
                <w:rStyle w:val="DefaultParagraphFont"/>
                <w:noProof/>
              </w:rPr>
              <w:t>(very common following booster)</w:t>
            </w:r>
          </w:p>
        </w:tc>
        <w:tc>
          <w:tcPr>
            <w:tcW w:w="37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decreased appetite</w:t>
            </w:r>
          </w:p>
        </w:tc>
      </w:tr>
      <w:tr>
        <w:tblPrEx>
          <w:tblCellSpacing w:w="0" w:type="dxa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tcW w:w="34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Psychiatric disorders</w:t>
            </w:r>
          </w:p>
        </w:tc>
        <w:tc>
          <w:tcPr>
            <w:tcW w:w="16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Very common</w:t>
            </w:r>
          </w:p>
        </w:tc>
        <w:tc>
          <w:tcPr>
            <w:tcW w:w="37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irritability</w:t>
            </w:r>
          </w:p>
        </w:tc>
      </w:tr>
      <w:tr>
        <w:tblPrEx>
          <w:tblCellSpacing w:w="0" w:type="dxa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tcW w:w="3420" w:type="dxa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Nervous system disorders</w:t>
            </w:r>
          </w:p>
        </w:tc>
        <w:tc>
          <w:tcPr>
            <w:tcW w:w="16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Common</w:t>
            </w:r>
          </w:p>
        </w:tc>
        <w:tc>
          <w:tcPr>
            <w:tcW w:w="37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somnolence</w:t>
            </w:r>
          </w:p>
        </w:tc>
      </w:tr>
      <w:tr>
        <w:tblPrEx>
          <w:tblCellSpacing w:w="0" w:type="dxa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  <w:tblCellSpacing w:w="0" w:type="dxa"/>
        </w:trPr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</w:tcPr>
          <w:p w:rsidR="004F6B2B">
            <w:pPr>
              <w:rPr>
                <w:rStyle w:val="DefaultParagraphFont"/>
                <w:noProof/>
              </w:rPr>
            </w:pPr>
          </w:p>
        </w:tc>
        <w:tc>
          <w:tcPr>
            <w:tcW w:w="16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Uncommon</w:t>
            </w:r>
          </w:p>
        </w:tc>
        <w:tc>
          <w:tcPr>
            <w:tcW w:w="37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febrile convulsions (within 7 days post-vaccination)</w:t>
            </w:r>
          </w:p>
        </w:tc>
      </w:tr>
      <w:tr>
        <w:tblPrEx>
          <w:tblCellSpacing w:w="0" w:type="dxa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tcW w:w="3420" w:type="dxa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Gastrointestinal disorders</w:t>
            </w:r>
          </w:p>
        </w:tc>
        <w:tc>
          <w:tcPr>
            <w:tcW w:w="16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Common</w:t>
            </w:r>
          </w:p>
        </w:tc>
        <w:tc>
          <w:tcPr>
            <w:tcW w:w="37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diarrhoea</w:t>
            </w:r>
          </w:p>
        </w:tc>
      </w:tr>
      <w:tr>
        <w:tblPrEx>
          <w:tblCellSpacing w:w="0" w:type="dxa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</w:tcPr>
          <w:p w:rsidR="004F6B2B">
            <w:pPr>
              <w:rPr>
                <w:rStyle w:val="DefaultParagraphFont"/>
                <w:noProof/>
              </w:rPr>
            </w:pPr>
          </w:p>
        </w:tc>
        <w:tc>
          <w:tcPr>
            <w:tcW w:w="16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Uncommon</w:t>
            </w:r>
          </w:p>
        </w:tc>
        <w:tc>
          <w:tcPr>
            <w:tcW w:w="37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vomiting</w:t>
            </w:r>
          </w:p>
        </w:tc>
      </w:tr>
      <w:tr>
        <w:tblPrEx>
          <w:tblCellSpacing w:w="0" w:type="dxa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tcW w:w="3420" w:type="dxa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General disorders and administration site conditions</w:t>
            </w:r>
          </w:p>
        </w:tc>
        <w:tc>
          <w:tcPr>
            <w:tcW w:w="16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Very common</w:t>
            </w:r>
          </w:p>
        </w:tc>
        <w:tc>
          <w:tcPr>
            <w:tcW w:w="37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fever, injection site reactions (including swelling, erythema and pain)</w:t>
            </w:r>
          </w:p>
        </w:tc>
      </w:tr>
      <w:tr>
        <w:tblPrEx>
          <w:tblCellSpacing w:w="0" w:type="dxa"/>
          <w:tblInd w:w="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vAlign w:val="center"/>
          </w:tcPr>
          <w:p w:rsidR="004F6B2B">
            <w:pPr>
              <w:rPr>
                <w:rStyle w:val="DefaultParagraphFont"/>
                <w:noProof/>
              </w:rPr>
            </w:pPr>
          </w:p>
        </w:tc>
        <w:tc>
          <w:tcPr>
            <w:tcW w:w="16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Uncommon</w:t>
            </w:r>
          </w:p>
        </w:tc>
        <w:tc>
          <w:tcPr>
            <w:tcW w:w="37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F6B2B" w:rsidP="004F6B2B">
            <w:pPr>
              <w:pStyle w:val="QuestionAns"/>
              <w:rPr>
                <w:rStyle w:val="DefaultParagraphFont"/>
                <w:noProof/>
                <w:sz w:val="20"/>
                <w:szCs w:val="20"/>
              </w:rPr>
            </w:pPr>
            <w:r>
              <w:rPr>
                <w:rStyle w:val="DefaultParagraphFont"/>
                <w:noProof/>
              </w:rPr>
              <w:t>injection site induration</w:t>
            </w:r>
          </w:p>
        </w:tc>
      </w:tr>
    </w:tbl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Clinical data in more than 4200 children who received a booster dose of Mosquirix shows that, following booster vaccination, decreased appetite was reported more frequently (very common) compared to the rates observed during primary vaccination</w:t>
      </w:r>
      <w:r>
        <w:rPr>
          <w:rStyle w:val="DefaultParagraphFont"/>
          <w:i/>
          <w:iCs/>
          <w:noProof/>
        </w:rPr>
        <w:t>.</w:t>
      </w:r>
    </w:p>
    <w:p w:rsidR="004F6B2B" w:rsidP="004F6B2B">
      <w:pPr>
        <w:pStyle w:val="References"/>
        <w:numPr>
          <w:ilvl w:val="0"/>
          <w:numId w:val="6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Vekemans J, et al. Human Vaccines 2011; 7: 1309-16.</w:t>
      </w:r>
    </w:p>
    <w:p w:rsidR="004F6B2B" w:rsidP="004F6B2B">
      <w:pPr>
        <w:pStyle w:val="References"/>
        <w:numPr>
          <w:ilvl w:val="0"/>
          <w:numId w:val="6"/>
        </w:numPr>
        <w:ind w:left="720" w:hanging="211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The RTS,S Clinical Trial Partnership. NEJM 2011, 365: 1863-75.</w:t>
      </w:r>
    </w:p>
    <w:p w:rsidR="004F6B2B" w:rsidP="004F6B2B">
      <w:pPr>
        <w:pStyle w:val="References"/>
        <w:numPr>
          <w:ilvl w:val="0"/>
          <w:numId w:val="6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The RTS,S Clinical Trial Partnership. NEJM 2012, 367: 2284-95.</w:t>
      </w:r>
    </w:p>
    <w:p w:rsidR="004F6B2B" w:rsidP="004F6B2B">
      <w:pPr>
        <w:pStyle w:val="References"/>
        <w:numPr>
          <w:ilvl w:val="0"/>
          <w:numId w:val="6"/>
        </w:numPr>
        <w:ind w:left="720" w:hanging="211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The RTS,S Clinical Trial Partnership. The Lancet, 2015. dx.doi.org/10.1016/S0140-6736(15)60721-8</w:t>
      </w:r>
    </w:p>
    <w:p w:rsidR="004F6B2B" w:rsidP="004F6B2B">
      <w:pPr>
        <w:pStyle w:val="References"/>
        <w:numPr>
          <w:ilvl w:val="0"/>
          <w:numId w:val="6"/>
        </w:numPr>
        <w:ind w:left="720" w:hanging="193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Mosquirix SmPC July 2015; European Medicines Agency, ema.europa.eu/ema/.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hybridMultilevel"/>
    <w:tmpl w:val="7CD25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7CD25139"/>
    <w:multiLevelType w:val="hybridMultilevel"/>
    <w:tmpl w:val="7CD251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CD2513A"/>
    <w:multiLevelType w:val="hybridMultilevel"/>
    <w:tmpl w:val="7CD251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7CD2513B"/>
    <w:multiLevelType w:val="multilevel"/>
    <w:tmpl w:val="7CD2513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