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12.0.0 -->
  <w:body>
    <w:p w:rsidR="00FE6CBD" w:rsidP="00DC0702">
      <w:pPr>
        <w:pStyle w:val="Heading4"/>
      </w:pPr>
      <w:r>
        <w:t>Disclaimer</w:t>
      </w:r>
    </w:p>
    <w:p w:rsidR="00990F45" w:rsidP="00990F45">
      <w:r>
        <w:t>The primary focus of this resource is to be an internal training tool for RTS</w:t>
      </w:r>
      <w:r>
        <w:t>,S</w:t>
      </w:r>
      <w:r>
        <w:t xml:space="preserve"> malaria vaccine candidate, containing related data in the format of a Q&amp;A for Medical Affairs personnel. Information presented here is not for external distribution.</w:t>
      </w:r>
    </w:p>
    <w:p w:rsidR="00990F45" w:rsidP="00990F45">
      <w:r>
        <w:t>Whilst this document can be inspirational for reactive responses to experts or medical enquiries, local regulations, the GSK Code of Practice, scientific engagement principles and/or medical information processes should be followed appropriately.</w:t>
      </w:r>
    </w:p>
    <w:p w:rsidR="00990F45" w:rsidP="00DC0702">
      <w:pPr>
        <w:pStyle w:val="Heading5"/>
      </w:pPr>
      <w:r>
        <w:t>Please Note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 xml:space="preserve">For media enquiries, please refer to the specific reactive Q&amp;A for Media Enquiries and notify the Global Pipeline Communications team before you respond to a request for an interview so that they can help you to prepare (contact person: Aoife Pauley at </w:t>
      </w:r>
      <w:r>
        <w:fldChar w:fldCharType="begin"/>
      </w:r>
      <w:r>
        <w:instrText xml:space="preserve"> HYPERLINK "mailto:aoife.x.pauley@gsk.com" </w:instrText>
      </w:r>
      <w:r>
        <w:fldChar w:fldCharType="separate"/>
      </w:r>
      <w:r w:rsidRPr="002051F1">
        <w:rPr>
          <w:rStyle w:val="Hyperlink"/>
        </w:rPr>
        <w:t>aoife.x.pauley@gsk.com</w:t>
      </w:r>
      <w:r>
        <w:fldChar w:fldCharType="end"/>
      </w:r>
      <w:r w:rsidRPr="008C178D">
        <w:t>)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 w:rsidRPr="008E182B">
        <w:t>The vaccine RTS</w:t>
      </w:r>
      <w:r w:rsidRPr="008E182B">
        <w:t>,S</w:t>
      </w:r>
      <w:r w:rsidRPr="008E182B">
        <w:t>/AS01 has completed phase 3 clinical program and positive regulatory assessment from the European Medicines Agency, but is not yet authorized for marketing in any country. The RTS</w:t>
      </w:r>
      <w:r w:rsidRPr="008E182B">
        <w:t>,S</w:t>
      </w:r>
      <w:r w:rsidRPr="008E182B">
        <w:t xml:space="preserve"> vaccine is being developed in Public Private Partnership with PATH-MVI, as an additional tool to be added to the currently available malaria preventive interventions and for implementation through the national immunization programs in malaria endemic regions in sub-Saharan African countries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>When referencing clinical data on RTS</w:t>
      </w:r>
      <w:r>
        <w:t>,S</w:t>
      </w:r>
      <w:r>
        <w:t xml:space="preserve"> any statements should be</w:t>
      </w:r>
      <w:bookmarkStart w:id="0" w:name="_GoBack"/>
      <w:bookmarkEnd w:id="0"/>
      <w:r>
        <w:t xml:space="preserve"> prefaced by "In this study...", to make it clear that it is too early to make any general statement on the vaccine profile outside the context of the ongoing clinical </w:t>
      </w:r>
      <w:r>
        <w:t>trails</w:t>
      </w:r>
      <w:r>
        <w:t>.</w:t>
      </w:r>
    </w:p>
    <w:p w:rsidR="006E0C1F" w:rsidP="006E0C1F">
      <w:pPr>
        <w:pStyle w:val="ListParagraph"/>
        <w:numPr>
          <w:ilvl w:val="0"/>
          <w:numId w:val="2"/>
        </w:numPr>
        <w:spacing w:after="0"/>
      </w:pPr>
      <w:r>
        <w:t xml:space="preserve">Have you found what you were looking for? If you have any suggestions for information which should be included in this tool please contact us at the following address: </w:t>
      </w:r>
      <w:r w:rsidR="00FA5C59">
        <w:t>Carys</w:t>
      </w:r>
      <w:r w:rsidR="00FA5C59">
        <w:t xml:space="preserve"> Calvert</w:t>
      </w:r>
      <w:r>
        <w:t xml:space="preserve"> at </w:t>
      </w:r>
      <w:r>
        <w:fldChar w:fldCharType="begin"/>
      </w:r>
      <w:r>
        <w:instrText xml:space="preserve"> HYPERLINK "mailto:carys.calvert@gsk.com" </w:instrText>
      </w:r>
      <w:r>
        <w:fldChar w:fldCharType="separate"/>
      </w:r>
      <w:r w:rsidR="00FA5C59">
        <w:rPr>
          <w:rStyle w:val="Hyperlink"/>
        </w:rPr>
        <w:t>carys.calvert@gsk.com</w:t>
      </w:r>
      <w:r>
        <w:fldChar w:fldCharType="end"/>
      </w:r>
      <w:r>
        <w:t>.</w:t>
      </w:r>
    </w:p>
    <w:p w:rsidP="004F6B2B">
      <w:pPr>
        <w:pStyle w:val="QuestionTitle"/>
        <w:rPr>
          <w:rStyle w:val="DefaultParagraphFont"/>
          <w:noProof/>
          <w:sz w:val="20"/>
          <w:szCs w:val="20"/>
        </w:rPr>
      </w:pPr>
      <w:r>
        <w:rPr>
          <w:rStyle w:val="Hyperlink"/>
        </w:rPr>
        <w:br w:type="page"/>
      </w:r>
      <w:r>
        <w:rPr>
          <w:rStyle w:val="DefaultParagraphFont"/>
          <w:noProof/>
        </w:rPr>
        <w:t>Can RTS,S be co-administered with other childhood vaccines?</w:t>
      </w:r>
    </w:p>
    <w:p w:rsidR="004F6B2B" w:rsidP="004F6B2B">
      <w:pPr>
        <w:pStyle w:val="QuestionAns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>Mosquirix</w:t>
      </w:r>
      <w:r>
        <w:rPr>
          <w:rStyle w:val="DefaultParagraphFont"/>
          <w:noProof/>
          <w:vertAlign w:val="superscript"/>
        </w:rPr>
        <w:t>TM</w:t>
      </w:r>
      <w:r>
        <w:rPr>
          <w:rStyle w:val="DefaultParagraphFont"/>
          <w:noProof/>
        </w:rPr>
        <w:t xml:space="preserve"> can be given concomitantly with any of the following monovalent or combination vaccines including diphtheria (D), tetanus (T), whole cell pertussis (Pw), acellular pertussis (Pa), hepatitis B (HepB), </w:t>
      </w:r>
      <w:r>
        <w:rPr>
          <w:rStyle w:val="DefaultParagraphFont"/>
          <w:i/>
          <w:iCs/>
          <w:noProof/>
        </w:rPr>
        <w:t>Haemophilus influenzae</w:t>
      </w:r>
      <w:r>
        <w:rPr>
          <w:rStyle w:val="DefaultParagraphFont"/>
          <w:noProof/>
        </w:rPr>
        <w:t xml:space="preserve"> type b (Hib), oral polio (OPV), measles, yellow fever, rotavirus and pneumococcal  conjugate vaccines (PCV).</w:t>
      </w:r>
      <w:r>
        <w:rPr>
          <w:rStyle w:val="DefaultParagraphFont"/>
          <w:noProof/>
          <w:vertAlign w:val="superscript"/>
        </w:rPr>
        <w:t xml:space="preserve"> (a)</w:t>
      </w:r>
    </w:p>
    <w:p w:rsidR="004F6B2B" w:rsidP="004F6B2B">
      <w:pPr>
        <w:pStyle w:val="QuestionAns"/>
        <w:numPr>
          <w:ilvl w:val="0"/>
          <w:numId w:val="3"/>
        </w:numPr>
        <w:ind w:left="720" w:hanging="192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>If RTS,S/AS01 is to be given at the same time as another injectable vaccine, the vaccines should always be administered at different sites.</w:t>
      </w:r>
      <w:r>
        <w:rPr>
          <w:rStyle w:val="DefaultParagraphFont"/>
          <w:noProof/>
          <w:vertAlign w:val="superscript"/>
        </w:rPr>
        <w:t>(a)</w:t>
      </w:r>
    </w:p>
    <w:p w:rsidR="004F6B2B" w:rsidP="004F6B2B">
      <w:pPr>
        <w:pStyle w:val="QuestionAns"/>
        <w:numPr>
          <w:ilvl w:val="0"/>
          <w:numId w:val="3"/>
        </w:numPr>
        <w:ind w:left="720" w:hanging="192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 xml:space="preserve">Concomitant administration of rotavirus and pneumococcal conjugate vaccines with RTS,S/AS01 may reduce the antibody response to the circumsporozoite (CS) antigen of RTS,S. The impact of this observation on the level of protection induced by RTS,S/AS01 is currently unknown. </w:t>
      </w:r>
      <w:r>
        <w:rPr>
          <w:rStyle w:val="DefaultParagraphFont"/>
          <w:noProof/>
          <w:vertAlign w:val="superscript"/>
        </w:rPr>
        <w:t xml:space="preserve">(a) </w:t>
      </w:r>
    </w:p>
    <w:p w:rsidR="004F6B2B" w:rsidP="004F6B2B">
      <w:pPr>
        <w:pStyle w:val="QuestionAns"/>
        <w:numPr>
          <w:ilvl w:val="0"/>
          <w:numId w:val="3"/>
        </w:numPr>
        <w:ind w:left="720" w:hanging="192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>The co-administration of Mosquirix</w:t>
      </w:r>
      <w:r>
        <w:rPr>
          <w:rStyle w:val="DefaultParagraphFont"/>
          <w:noProof/>
          <w:vertAlign w:val="superscript"/>
        </w:rPr>
        <w:t>TM</w:t>
      </w:r>
      <w:r>
        <w:rPr>
          <w:rStyle w:val="DefaultParagraphFont"/>
          <w:noProof/>
        </w:rPr>
        <w:t xml:space="preserve"> with PCV increases the risk of fever within 7 days post-vaccination </w:t>
      </w:r>
      <w:r>
        <w:rPr>
          <w:rStyle w:val="DefaultParagraphFont"/>
          <w:noProof/>
          <w:vertAlign w:val="superscript"/>
        </w:rPr>
        <w:t>(a)</w:t>
      </w:r>
    </w:p>
    <w:p w:rsidR="004F6B2B" w:rsidP="004F6B2B">
      <w:pPr>
        <w:pStyle w:val="QuestionAns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>RTS,S/AS01 vaccine formulations were evaluated in co-administration with the following licensed vaccines</w:t>
      </w:r>
      <w:r>
        <w:rPr>
          <w:rStyle w:val="DefaultParagraphFont"/>
          <w:noProof/>
          <w:vertAlign w:val="superscript"/>
        </w:rPr>
        <w:t>(c,d)</w:t>
      </w:r>
      <w:r>
        <w:rPr>
          <w:rStyle w:val="DefaultParagraphFont"/>
          <w:noProof/>
        </w:rPr>
        <w:t>: DTPw/Hib (</w:t>
      </w:r>
      <w:r>
        <w:rPr>
          <w:rStyle w:val="DefaultParagraphFont"/>
          <w:i/>
          <w:iCs/>
          <w:noProof/>
        </w:rPr>
        <w:t>TETRActHib</w:t>
      </w:r>
      <w:r>
        <w:rPr>
          <w:rStyle w:val="DefaultParagraphFont"/>
          <w:noProof/>
        </w:rPr>
        <w:t xml:space="preserve">), DTPa/Hib </w:t>
      </w:r>
      <w:r>
        <w:rPr>
          <w:rStyle w:val="DefaultParagraphFont"/>
          <w:i/>
          <w:iCs/>
          <w:noProof/>
        </w:rPr>
        <w:t>(Infanrix Hib)</w:t>
      </w:r>
      <w:r>
        <w:rPr>
          <w:rStyle w:val="DefaultParagraphFont"/>
          <w:noProof/>
        </w:rPr>
        <w:t>, DTPw-HepB/Hib (</w:t>
      </w:r>
      <w:r>
        <w:rPr>
          <w:rStyle w:val="DefaultParagraphFont"/>
          <w:i/>
          <w:iCs/>
          <w:noProof/>
        </w:rPr>
        <w:t>Tritanrix-HepB/Hib</w:t>
      </w:r>
      <w:r>
        <w:rPr>
          <w:rStyle w:val="DefaultParagraphFont"/>
          <w:noProof/>
        </w:rPr>
        <w:t>), OPV (</w:t>
      </w:r>
      <w:r>
        <w:rPr>
          <w:rStyle w:val="DefaultParagraphFont"/>
          <w:i/>
          <w:iCs/>
          <w:noProof/>
        </w:rPr>
        <w:t>Polio Sabin</w:t>
      </w:r>
      <w:r>
        <w:rPr>
          <w:rStyle w:val="DefaultParagraphFont"/>
          <w:noProof/>
        </w:rPr>
        <w:t>), measles (</w:t>
      </w:r>
      <w:r>
        <w:rPr>
          <w:rStyle w:val="DefaultParagraphFont"/>
          <w:i/>
          <w:iCs/>
          <w:noProof/>
        </w:rPr>
        <w:t>Rouvax/Attenuated Live Measles Vaccine</w:t>
      </w:r>
      <w:r>
        <w:rPr>
          <w:rStyle w:val="DefaultParagraphFont"/>
          <w:noProof/>
        </w:rPr>
        <w:t>), yellow fever (</w:t>
      </w:r>
      <w:r>
        <w:rPr>
          <w:rStyle w:val="DefaultParagraphFont"/>
          <w:i/>
          <w:iCs/>
          <w:noProof/>
        </w:rPr>
        <w:t>Stamaril</w:t>
      </w:r>
      <w:r>
        <w:rPr>
          <w:rStyle w:val="DefaultParagraphFont"/>
          <w:noProof/>
        </w:rPr>
        <w:t xml:space="preserve">), rotavirus </w:t>
      </w:r>
      <w:r>
        <w:rPr>
          <w:rStyle w:val="DefaultParagraphFont"/>
          <w:i/>
          <w:iCs/>
          <w:noProof/>
        </w:rPr>
        <w:t>(Rotarix)</w:t>
      </w:r>
      <w:r>
        <w:rPr>
          <w:rStyle w:val="DefaultParagraphFont"/>
          <w:noProof/>
        </w:rPr>
        <w:t xml:space="preserve"> and pneumococcal conjugated </w:t>
      </w:r>
      <w:r>
        <w:rPr>
          <w:rStyle w:val="DefaultParagraphFont"/>
          <w:i/>
          <w:iCs/>
          <w:noProof/>
        </w:rPr>
        <w:t>(Synflorix)</w:t>
      </w:r>
      <w:r>
        <w:rPr>
          <w:rStyle w:val="DefaultParagraphFont"/>
          <w:noProof/>
        </w:rPr>
        <w:t xml:space="preserve"> vaccines.</w:t>
      </w:r>
    </w:p>
    <w:p w:rsidR="004F6B2B" w:rsidP="004F6B2B">
      <w:pPr>
        <w:pStyle w:val="QuestionAns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>The non-inferiority of the immune response was demonstrated for D, T, Pw, Pa, Hib, polio and pneumococcal antigens (except for pneumococcal serotype 18C); although there was a trend for lower antibody geometric mean concentrations (GMCs) for these antigens when compared to the control group. These observations were considered as not clinically significant.</w:t>
      </w:r>
      <w:r>
        <w:rPr>
          <w:rStyle w:val="DefaultParagraphFont"/>
          <w:noProof/>
          <w:vertAlign w:val="superscript"/>
        </w:rPr>
        <w:t>(a)</w:t>
      </w:r>
    </w:p>
    <w:p w:rsidR="004F6B2B" w:rsidP="004F6B2B">
      <w:pPr>
        <w:pStyle w:val="QuestionAns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>In a clinical study in infants aged 8-12 weeks, fever was reported more frequently in infants receiving PCV in co-administration with Mosquirix, DTPa/Hib and OPV simultaneously (26%), as compared to infants receiving only Mosquirix, DTPa/Hib and OPV (14%). However, the frequency of grade 3 fever (defined as axillary temperature &gt; 39.0°C) was low (≤ 1%).</w:t>
      </w:r>
      <w:r>
        <w:rPr>
          <w:rStyle w:val="DefaultParagraphFont"/>
          <w:noProof/>
          <w:vertAlign w:val="superscript"/>
        </w:rPr>
        <w:t>(a,d)</w:t>
      </w:r>
    </w:p>
    <w:p w:rsidR="004F6B2B" w:rsidP="004F6B2B">
      <w:pPr>
        <w:pStyle w:val="QuestionAns"/>
        <w:rPr>
          <w:rStyle w:val="DefaultParagraphFont"/>
          <w:noProof/>
          <w:sz w:val="20"/>
          <w:szCs w:val="20"/>
        </w:rPr>
      </w:pPr>
      <w:r>
        <w:rPr>
          <w:rStyle w:val="DefaultParagraphFont"/>
          <w:noProof/>
        </w:rPr>
        <w:t>Another study,</w:t>
      </w:r>
      <w:r>
        <w:rPr>
          <w:rStyle w:val="DefaultParagraphFont"/>
          <w:b/>
          <w:bCs/>
          <w:noProof/>
        </w:rPr>
        <w:t xml:space="preserve"> Malaria-073</w:t>
      </w:r>
      <w:r>
        <w:rPr>
          <w:rStyle w:val="DefaultParagraphFont"/>
          <w:noProof/>
          <w:vertAlign w:val="superscript"/>
        </w:rPr>
        <w:t>(e)</w:t>
      </w:r>
      <w:r>
        <w:rPr>
          <w:rStyle w:val="DefaultParagraphFont"/>
          <w:noProof/>
        </w:rPr>
        <w:t>, is a Phase IIIb randomized, open-label, controlled study to evaluate the non-inferiority of immune response and the safety of the RTS,S/AS01, when administered as primary vaccination with or without co-administration of yellow fever (</w:t>
      </w:r>
      <w:r>
        <w:rPr>
          <w:rStyle w:val="DefaultParagraphFont"/>
          <w:i/>
          <w:iCs/>
          <w:noProof/>
        </w:rPr>
        <w:t>Stamaril</w:t>
      </w:r>
      <w:r>
        <w:rPr>
          <w:rStyle w:val="DefaultParagraphFont"/>
          <w:noProof/>
        </w:rPr>
        <w:t>®), measles and rubella (</w:t>
      </w:r>
      <w:r>
        <w:rPr>
          <w:rStyle w:val="DefaultParagraphFont"/>
          <w:i/>
          <w:iCs/>
          <w:noProof/>
        </w:rPr>
        <w:t>MR-VAC</w:t>
      </w:r>
      <w:r>
        <w:rPr>
          <w:rStyle w:val="DefaultParagraphFont"/>
          <w:noProof/>
        </w:rPr>
        <w:t>™) vaccines at 6, 7.5 and 9 months of age to children living in sub-Saharan Africa.</w:t>
      </w:r>
    </w:p>
    <w:p w:rsidR="004F6B2B" w:rsidP="004F6B2B">
      <w:pPr>
        <w:pStyle w:val="References"/>
        <w:numPr>
          <w:ilvl w:val="0"/>
          <w:numId w:val="4"/>
        </w:numPr>
        <w:ind w:left="720" w:hanging="220"/>
        <w:rPr>
          <w:rStyle w:val="DefaultParagraphFont"/>
          <w:noProof/>
          <w:sz w:val="16"/>
          <w:szCs w:val="16"/>
        </w:rPr>
      </w:pPr>
      <w:r>
        <w:rPr>
          <w:rStyle w:val="DefaultParagraphFont"/>
          <w:i/>
          <w:iCs/>
          <w:noProof/>
        </w:rPr>
        <w:t>Mosquirix Global Datasheet v03, February 2015</w:t>
      </w:r>
    </w:p>
    <w:p w:rsidR="004F6B2B" w:rsidP="004F6B2B">
      <w:pPr>
        <w:pStyle w:val="References"/>
        <w:numPr>
          <w:ilvl w:val="0"/>
          <w:numId w:val="4"/>
        </w:numPr>
        <w:ind w:left="720" w:hanging="211"/>
        <w:rPr>
          <w:rStyle w:val="DefaultParagraphFont"/>
          <w:noProof/>
          <w:sz w:val="16"/>
          <w:szCs w:val="16"/>
        </w:rPr>
      </w:pPr>
      <w:r>
        <w:rPr>
          <w:rStyle w:val="DefaultParagraphFont"/>
          <w:i/>
          <w:iCs/>
          <w:noProof/>
        </w:rPr>
        <w:t>Leach A, et al. Malaria Journal 2011; 10: 224.</w:t>
      </w:r>
    </w:p>
    <w:p w:rsidR="004F6B2B" w:rsidP="004F6B2B">
      <w:pPr>
        <w:pStyle w:val="References"/>
        <w:numPr>
          <w:ilvl w:val="0"/>
          <w:numId w:val="4"/>
        </w:numPr>
        <w:ind w:left="720" w:hanging="220"/>
        <w:rPr>
          <w:rStyle w:val="DefaultParagraphFont"/>
          <w:noProof/>
          <w:sz w:val="16"/>
          <w:szCs w:val="16"/>
        </w:rPr>
      </w:pPr>
      <w:r>
        <w:rPr>
          <w:rStyle w:val="DefaultParagraphFont"/>
          <w:i/>
          <w:iCs/>
          <w:noProof/>
        </w:rPr>
        <w:t>Agnandji S, et al. J Infectious Diseases 2010, 202(7):1076–1087</w:t>
      </w:r>
    </w:p>
    <w:p w:rsidR="004F6B2B" w:rsidP="004F6B2B">
      <w:pPr>
        <w:pStyle w:val="References"/>
        <w:numPr>
          <w:ilvl w:val="0"/>
          <w:numId w:val="4"/>
        </w:numPr>
        <w:ind w:left="720" w:hanging="211"/>
        <w:rPr>
          <w:rStyle w:val="DefaultParagraphFont"/>
          <w:noProof/>
          <w:sz w:val="16"/>
          <w:szCs w:val="16"/>
        </w:rPr>
      </w:pPr>
      <w:r>
        <w:rPr>
          <w:rStyle w:val="DefaultParagraphFont"/>
          <w:i/>
          <w:iCs/>
          <w:noProof/>
        </w:rPr>
        <w:t>Malaria-063, ClinicalTrials.gov NCT01345240 (GSK study ID 113681)</w:t>
      </w:r>
    </w:p>
    <w:p w:rsidR="004F6B2B" w:rsidP="004F6B2B">
      <w:pPr>
        <w:pStyle w:val="References"/>
        <w:numPr>
          <w:ilvl w:val="0"/>
          <w:numId w:val="4"/>
        </w:numPr>
        <w:ind w:left="720" w:hanging="193"/>
        <w:rPr>
          <w:rStyle w:val="DefaultParagraphFont"/>
          <w:noProof/>
          <w:sz w:val="16"/>
          <w:szCs w:val="16"/>
        </w:rPr>
      </w:pPr>
      <w:r>
        <w:rPr>
          <w:rStyle w:val="DefaultParagraphFont"/>
          <w:i/>
          <w:iCs/>
          <w:noProof/>
        </w:rPr>
        <w:t>Malaria-073, (GSK study ID 200596)</w:t>
      </w:r>
    </w:p>
    <w:sectPr w:rsidSect="005E191C">
      <w:headerReference w:type="default" r:id="rId4"/>
      <w:pgSz w:w="11906" w:h="16838"/>
      <w:pgMar w:top="1814" w:right="1287" w:bottom="1440" w:left="1077" w:header="567" w:footer="731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22D68" w:rsidRPr="006E3EE2" w:rsidP="00222D68">
    <w:pPr>
      <w:pStyle w:val="Heading1"/>
      <w:jc w:val="center"/>
    </w:pPr>
    <w:bookmarkStart w:id="1" w:name="_Toc306442200"/>
    <w:r w:rsidRPr="006E3EE2">
      <w:t>RTS</w:t>
    </w:r>
    <w:r w:rsidRPr="006E3EE2">
      <w:t>,S</w:t>
    </w:r>
    <w:r w:rsidRPr="006E3EE2">
      <w:t xml:space="preserve"> MEDICAL AND SCIENTIFIC QUESTIONS &amp; ANSWERS</w:t>
    </w:r>
  </w:p>
  <w:p w:rsidR="008C6F54" w:rsidRPr="005E191C" w:rsidP="005E191C">
    <w:pPr>
      <w:jc w:val="center"/>
      <w:rPr>
        <w:b/>
        <w:bCs/>
        <w:color w:val="FF0000"/>
        <w:szCs w:val="20"/>
        <w:u w:val="single"/>
      </w:rPr>
    </w:pPr>
    <w:r w:rsidRPr="002423B0">
      <w:rPr>
        <w:rStyle w:val="Strong"/>
        <w:color w:val="FF0000"/>
        <w:szCs w:val="20"/>
      </w:rPr>
      <w:t>For internal use only - NOT FOR DISTRIBUTION</w:t>
    </w:r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64E31CA0"/>
    <w:multiLevelType w:val="hybridMultilevel"/>
    <w:tmpl w:val="C1DEDA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D25137"/>
    <w:multiLevelType w:val="hybridMultilevel"/>
    <w:tmpl w:val="D14CEA3C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D25138"/>
    <w:multiLevelType w:val="hybridMultilevel"/>
    <w:tmpl w:val="7CD251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7CD25139"/>
    <w:multiLevelType w:val="multilevel"/>
    <w:tmpl w:val="7CD25139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12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E191C"/>
    <w:pPr>
      <w:spacing w:after="120"/>
    </w:pPr>
    <w:rPr>
      <w:rFonts w:ascii="Arial" w:hAnsi="Arial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222D68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EA6310"/>
    <w:pPr>
      <w:keepNext/>
      <w:keepLines/>
      <w:spacing w:before="4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nhideWhenUsed/>
    <w:qFormat/>
    <w:rsid w:val="00DC0702"/>
    <w:pPr>
      <w:keepNext/>
      <w:keepLines/>
      <w:spacing w:before="120"/>
      <w:outlineLvl w:val="4"/>
    </w:pPr>
    <w:rPr>
      <w:rFonts w:eastAsiaTheme="majorEastAsia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C6F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C6F54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8C6F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8C6F54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8C6F54"/>
  </w:style>
  <w:style w:type="paragraph" w:customStyle="1" w:styleId="MyCustomStyle">
    <w:name w:val="MyCustomStyle"/>
    <w:qFormat/>
    <w:rsid w:val="006B62D2"/>
    <w:rPr>
      <w:rFonts w:ascii="Arial" w:hAnsi="Arial"/>
      <w:i/>
      <w:sz w:val="18"/>
      <w:szCs w:val="24"/>
      <w:lang w:val="en-US" w:eastAsia="en-US"/>
    </w:rPr>
  </w:style>
  <w:style w:type="character" w:styleId="IntenseReference">
    <w:name w:val="Intense Reference"/>
    <w:basedOn w:val="DefaultParagraphFont"/>
    <w:uiPriority w:val="32"/>
    <w:qFormat/>
    <w:rsid w:val="00A73E30"/>
    <w:rPr>
      <w:b/>
      <w:bCs/>
      <w:smallCaps/>
      <w:color w:val="C0504D" w:themeColor="accent2"/>
      <w:spacing w:val="5"/>
      <w:u w:val="single"/>
    </w:rPr>
  </w:style>
  <w:style w:type="character" w:styleId="IntenseEmphasis">
    <w:name w:val="Intense Emphasis"/>
    <w:basedOn w:val="DefaultParagraphFont"/>
    <w:uiPriority w:val="21"/>
    <w:qFormat/>
    <w:rsid w:val="00230041"/>
    <w:rPr>
      <w:b/>
      <w:bCs/>
      <w:i/>
      <w:iCs/>
      <w:color w:val="4F81BD" w:themeColor="accent1"/>
    </w:rPr>
  </w:style>
  <w:style w:type="paragraph" w:customStyle="1" w:styleId="References">
    <w:name w:val="References"/>
    <w:basedOn w:val="MyCustomStyle"/>
    <w:qFormat/>
    <w:rsid w:val="008C704D"/>
    <w:pPr>
      <w:spacing w:after="120"/>
    </w:pPr>
    <w:rPr>
      <w:i w:val="0"/>
      <w:sz w:val="16"/>
    </w:rPr>
  </w:style>
  <w:style w:type="paragraph" w:styleId="Title">
    <w:name w:val="Title"/>
    <w:basedOn w:val="Normal"/>
    <w:next w:val="Normal"/>
    <w:link w:val="TitleChar"/>
    <w:qFormat/>
    <w:rsid w:val="005D1D7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D1D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customStyle="1" w:styleId="QuestionTitle">
    <w:name w:val="QuestionTitle"/>
    <w:basedOn w:val="Normal"/>
    <w:next w:val="Normal"/>
    <w:qFormat/>
    <w:rsid w:val="001D7A4C"/>
    <w:rPr>
      <w:rFonts w:eastAsiaTheme="majorEastAsia" w:cstheme="majorBidi"/>
      <w:b/>
      <w:spacing w:val="5"/>
      <w:kern w:val="28"/>
      <w:szCs w:val="52"/>
    </w:rPr>
  </w:style>
  <w:style w:type="paragraph" w:customStyle="1" w:styleId="QuestionAns">
    <w:name w:val="QuestionAns"/>
    <w:basedOn w:val="Normal"/>
    <w:next w:val="Normal"/>
    <w:qFormat/>
    <w:rsid w:val="00036354"/>
  </w:style>
  <w:style w:type="character" w:styleId="Hyperlink">
    <w:name w:val="Hyperlink"/>
    <w:basedOn w:val="DefaultParagraphFont"/>
    <w:rsid w:val="00205E6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222D68"/>
    <w:rPr>
      <w:rFonts w:asciiTheme="minorHAnsi" w:eastAsiaTheme="majorEastAsia" w:hAnsiTheme="minorHAnsi" w:cstheme="majorBidi"/>
      <w:b/>
      <w:bCs/>
      <w:color w:val="000000" w:themeColor="text1"/>
      <w:sz w:val="28"/>
      <w:szCs w:val="28"/>
      <w:lang w:val="en-US" w:eastAsia="en-US"/>
    </w:rPr>
  </w:style>
  <w:style w:type="character" w:styleId="Strong">
    <w:name w:val="Strong"/>
    <w:basedOn w:val="DefaultParagraphFont"/>
    <w:uiPriority w:val="22"/>
    <w:qFormat/>
    <w:rsid w:val="00222D68"/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E6CB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rsid w:val="00DC0702"/>
    <w:rPr>
      <w:rFonts w:ascii="Arial" w:hAnsi="Arial" w:eastAsiaTheme="majorEastAsia" w:cstheme="majorBidi"/>
      <w:b/>
      <w:color w:val="000000" w:themeColor="text1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EA6310"/>
    <w:rPr>
      <w:rFonts w:ascii="Arial" w:hAnsi="Arial" w:eastAsiaTheme="majorEastAsia" w:cstheme="majorBidi"/>
      <w:b/>
      <w:i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74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 Kilhams</dc:creator>
  <cp:lastModifiedBy>Ross Kilhams</cp:lastModifiedBy>
  <cp:revision>62</cp:revision>
  <dcterms:created xsi:type="dcterms:W3CDTF">2012-03-21T15:51:00Z</dcterms:created>
  <dcterms:modified xsi:type="dcterms:W3CDTF">2016-02-29T12:38:00Z</dcterms:modified>
</cp:coreProperties>
</file>