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What is the economic burden of malaria?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Malaria consumes an important part of the household income in Africa and pushes them further into poverty.</w:t>
      </w:r>
    </w:p>
    <w:p w:rsidR="004F6B2B" w:rsidP="004F6B2B">
      <w:pPr>
        <w:pStyle w:val="QuestionAns"/>
        <w:numPr>
          <w:ilvl w:val="0"/>
          <w:numId w:val="3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Malaria consumes 4-13% of annual family income in Tigray region in Ethiopia (GMAP financing strategy document) and 2.7-3.9% in Tanzania </w:t>
      </w:r>
      <w:r>
        <w:rPr>
          <w:rStyle w:val="DefaultParagraphFont"/>
          <w:noProof/>
          <w:vertAlign w:val="superscript"/>
        </w:rPr>
        <w:t>(a)</w:t>
      </w:r>
      <w:r>
        <w:rPr>
          <w:rStyle w:val="DefaultParagraphFont"/>
          <w:noProof/>
        </w:rPr>
        <w:t>.</w:t>
      </w:r>
    </w:p>
    <w:p w:rsidR="004F6B2B" w:rsidP="004F6B2B">
      <w:pPr>
        <w:pStyle w:val="QuestionAns"/>
        <w:numPr>
          <w:ilvl w:val="0"/>
          <w:numId w:val="3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In the Maputo district of Mozambique, one third of households incurred catastrophic payments related to malaria and this rate was 9-12.5% in 2 districts with highest malaria burden in South Africa </w:t>
      </w:r>
      <w:r>
        <w:rPr>
          <w:rStyle w:val="DefaultParagraphFont"/>
          <w:noProof/>
          <w:vertAlign w:val="superscript"/>
        </w:rPr>
        <w:t>(b)</w:t>
      </w:r>
      <w:r>
        <w:rPr>
          <w:rStyle w:val="DefaultParagraphFont"/>
          <w:noProof/>
        </w:rPr>
        <w:t>.</w:t>
      </w:r>
    </w:p>
    <w:p w:rsidR="004F6B2B" w:rsidP="004F6B2B">
      <w:pPr>
        <w:pStyle w:val="QuestionAns"/>
        <w:numPr>
          <w:ilvl w:val="0"/>
          <w:numId w:val="3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The estimated national cost of malaria in children &lt;5years expressed in US$ (2009) was 37.8 M in Ghana, 109.04 M in Kenya and 131.94 M in Tanzania. </w:t>
      </w:r>
      <w:r>
        <w:rPr>
          <w:rStyle w:val="DefaultParagraphFont"/>
          <w:noProof/>
          <w:vertAlign w:val="superscript"/>
        </w:rPr>
        <w:t>(c)</w:t>
      </w:r>
    </w:p>
    <w:p w:rsidR="004F6B2B" w:rsidP="004F6B2B">
      <w:pPr>
        <w:pStyle w:val="References"/>
        <w:numPr>
          <w:ilvl w:val="0"/>
          <w:numId w:val="4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Somi M. et al Trop Med Int Health 2007; 12: 1139-47</w:t>
      </w:r>
    </w:p>
    <w:p w:rsidR="004F6B2B" w:rsidP="004F6B2B">
      <w:pPr>
        <w:pStyle w:val="References"/>
        <w:numPr>
          <w:ilvl w:val="0"/>
          <w:numId w:val="4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Castillo-Riquelme et al, Trop Med Int Health 2008, 13: 108-122</w:t>
      </w:r>
    </w:p>
    <w:p w:rsidR="004F6B2B" w:rsidP="004F6B2B">
      <w:pPr>
        <w:pStyle w:val="References"/>
        <w:numPr>
          <w:ilvl w:val="0"/>
          <w:numId w:val="4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Sicuri et al, Malaria J 2013;12:30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hybridMultilevel"/>
    <w:tmpl w:val="7CD25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7CD25139"/>
    <w:multiLevelType w:val="multilevel"/>
    <w:tmpl w:val="7CD2513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