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How much will the vaccine cost?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It is too early for GSK to confirm the price of RTS,S during this development phase. In January 2010, GSK committed to setting a price which covers costs of manufacturing the vaccine and a small return of 5% to be reinvested in R&amp;D for next generation malaria vaccines or for other treatments for diseases of the developing world. GSK also committed to evaluate any possibility that would allow limiting the cost of manufacturing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>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Witty A. New Strategies For Innovation In Global Health: A Pharmaceutical Industry Perspective. Health Affairs 2011; 30: 118-26.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