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Will Gavi support implementation of RTS,S as for other vaccines?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RTS,S is expected to be available through usual procurement process including UN agencies (UNICEF) with support from Gavi. Gavi has included malaria vaccine in their Vaccine Investment Strategy </w:t>
      </w:r>
      <w:r>
        <w:rPr>
          <w:rStyle w:val="DefaultParagraphFont"/>
          <w:noProof/>
          <w:vertAlign w:val="superscript"/>
        </w:rPr>
        <w:t>(</w:t>
      </w:r>
      <w:r>
        <w:rPr>
          <w:rStyle w:val="DefaultParagraphFont"/>
          <w:noProof/>
          <w:vertAlign w:val="superscript"/>
        </w:rPr>
        <w:t>a)</w:t>
      </w:r>
      <w:r>
        <w:rPr>
          <w:rStyle w:val="DefaultParagraphFont"/>
          <w:noProof/>
        </w:rPr>
        <w:t xml:space="preserve"> and is now looking into its role (and that of Global Fund against AIDS, Tuberculosis and Malaria) into financing of Pilot introduction projects as recommended by WHO.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Gavi Vaccine Investment Strategy, 2013.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