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Will RTS,S be made available as part of a tiered pricing structure?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RTS,S is currently being developed solely for use in sub-Saharan Africa since burden of malaria caused by </w:t>
      </w:r>
      <w:r>
        <w:rPr>
          <w:rStyle w:val="DefaultParagraphFont"/>
          <w:i/>
          <w:iCs/>
          <w:noProof/>
        </w:rPr>
        <w:t>P. falciparum</w:t>
      </w:r>
      <w:r>
        <w:rPr>
          <w:rStyle w:val="DefaultParagraphFont"/>
          <w:noProof/>
        </w:rPr>
        <w:t xml:space="preserve"> is mostly occurring in sub-Saharan African children under 5 years of age. Tiered pricing (where prices are aligned to a country’s ability to pay) is not applicable because this vaccine will not be made available in higher income countries.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