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Calibri" w:hAnsi="Calibri"/>
          <w:b/>
          <w:i w:val="0"/>
          <w:color w:val="0F4C5C"/>
          <w:sz w:val="38"/>
        </w:rPr>
        <w:t>Codificação dos resultados</w:t>
      </w:r>
    </w:p>
    <w:p>
      <w:pPr>
        <w:spacing w:after="280"/>
      </w:pPr>
      <w:r>
        <w:rPr>
          <w:rFonts w:ascii="Calibri" w:hAnsi="Calibri"/>
          <w:b w:val="0"/>
          <w:i w:val="0"/>
          <w:color w:val="4A4A4A"/>
          <w:sz w:val="22"/>
        </w:rPr>
        <w:t>Consultoria técnica IPPLAM, CEPAL/ONU · condições habilitantes ao financiamento climático urbano de Maringá · anexo ao Produto 04</w:t>
      </w:r>
    </w:p>
    <w:p>
      <w:pPr>
        <w:spacing w:after="140" w:line="276" w:lineRule="auto"/>
      </w:pPr>
      <w:r>
        <w:rPr>
          <w:rFonts w:ascii="Calibri" w:hAnsi="Calibri"/>
          <w:b w:val="0"/>
          <w:i w:val="0"/>
          <w:color w:val="222222"/>
          <w:sz w:val="21"/>
        </w:rPr>
        <w:t>Este documento descreve como o corpus de entrevistas foi codificado e o que a codificação produziu. Todos os números saem de contagem sobre os arquivos versionados do codebook e são reproduzíveis por python -m tools.p4_base. Nenhum valor foi digitado.</w:t>
      </w:r>
    </w:p>
    <w:p>
      <w:pPr>
        <w:spacing w:before="320" w:after="80"/>
      </w:pPr>
      <w:r>
        <w:rPr>
          <w:rFonts w:ascii="Calibri" w:hAnsi="Calibri"/>
          <w:b/>
          <w:i w:val="0"/>
          <w:color w:val="0F4C5C"/>
          <w:sz w:val="28"/>
        </w:rPr>
        <w:t>1. Base da avaliação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184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i w:val="0"/>
                <w:color w:val="0F4C5C"/>
                <w:sz w:val="19"/>
              </w:rPr>
              <w:t>Indicador</w:t>
            </w:r>
          </w:p>
        </w:tc>
        <w:tc>
          <w:tcPr>
            <w:tcW w:type="dxa" w:w="2592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i w:val="0"/>
                <w:color w:val="0F4C5C"/>
                <w:sz w:val="19"/>
              </w:rPr>
              <w:t>Valor</w:t>
            </w:r>
          </w:p>
        </w:tc>
      </w:tr>
      <w:tr>
        <w:tc>
          <w:tcPr>
            <w:tcW w:type="dxa" w:w="518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Sessões de entrevista</w:t>
            </w:r>
          </w:p>
        </w:tc>
        <w:tc>
          <w:tcPr>
            <w:tcW w:type="dxa" w:w="259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17</w:t>
            </w:r>
          </w:p>
        </w:tc>
      </w:tr>
      <w:tr>
        <w:tc>
          <w:tcPr>
            <w:tcW w:type="dxa" w:w="518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Participantes</w:t>
            </w:r>
          </w:p>
        </w:tc>
        <w:tc>
          <w:tcPr>
            <w:tcW w:type="dxa" w:w="259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20</w:t>
            </w:r>
          </w:p>
        </w:tc>
      </w:tr>
      <w:tr>
        <w:tc>
          <w:tcPr>
            <w:tcW w:type="dxa" w:w="518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Duração total</w:t>
            </w:r>
          </w:p>
        </w:tc>
        <w:tc>
          <w:tcPr>
            <w:tcW w:type="dxa" w:w="259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13h05 (785 min)</w:t>
            </w:r>
          </w:p>
        </w:tc>
      </w:tr>
      <w:tr>
        <w:tc>
          <w:tcPr>
            <w:tcW w:type="dxa" w:w="518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Turnos de fala</w:t>
            </w:r>
          </w:p>
        </w:tc>
        <w:tc>
          <w:tcPr>
            <w:tcW w:type="dxa" w:w="259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7.778</w:t>
            </w:r>
          </w:p>
        </w:tc>
      </w:tr>
      <w:tr>
        <w:tc>
          <w:tcPr>
            <w:tcW w:type="dxa" w:w="518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Evidências codificadas</w:t>
            </w:r>
          </w:p>
        </w:tc>
        <w:tc>
          <w:tcPr>
            <w:tcW w:type="dxa" w:w="259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494</w:t>
            </w:r>
          </w:p>
        </w:tc>
      </w:tr>
      <w:tr>
        <w:tc>
          <w:tcPr>
            <w:tcW w:type="dxa" w:w="518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Dimensões da metodologia</w:t>
            </w:r>
          </w:p>
        </w:tc>
        <w:tc>
          <w:tcPr>
            <w:tcW w:type="dxa" w:w="259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55</w:t>
            </w:r>
          </w:p>
        </w:tc>
      </w:tr>
      <w:tr>
        <w:tc>
          <w:tcPr>
            <w:tcW w:type="dxa" w:w="518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Dimensões com evidência</w:t>
            </w:r>
          </w:p>
        </w:tc>
        <w:tc>
          <w:tcPr>
            <w:tcW w:type="dxa" w:w="259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51</w:t>
            </w:r>
          </w:p>
        </w:tc>
      </w:tr>
      <w:tr>
        <w:tc>
          <w:tcPr>
            <w:tcW w:type="dxa" w:w="518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Dimensões trianguladas</w:t>
            </w:r>
          </w:p>
        </w:tc>
        <w:tc>
          <w:tcPr>
            <w:tcW w:type="dxa" w:w="259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47</w:t>
            </w:r>
          </w:p>
        </w:tc>
      </w:tr>
      <w:tr>
        <w:tc>
          <w:tcPr>
            <w:tcW w:type="dxa" w:w="518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Dimensões de fonte única</w:t>
            </w:r>
          </w:p>
        </w:tc>
        <w:tc>
          <w:tcPr>
            <w:tcW w:type="dxa" w:w="259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4</w:t>
            </w:r>
          </w:p>
        </w:tc>
      </w:tr>
      <w:tr>
        <w:tc>
          <w:tcPr>
            <w:tcW w:type="dxa" w:w="518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Evidências divergentes</w:t>
            </w:r>
          </w:p>
        </w:tc>
        <w:tc>
          <w:tcPr>
            <w:tcW w:type="dxa" w:w="259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50</w:t>
            </w:r>
          </w:p>
        </w:tc>
      </w:tr>
      <w:tr>
        <w:tc>
          <w:tcPr>
            <w:tcW w:type="dxa" w:w="518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Subcategorias avaliadas</w:t>
            </w:r>
          </w:p>
        </w:tc>
        <w:tc>
          <w:tcPr>
            <w:tcW w:type="dxa" w:w="259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13</w:t>
            </w:r>
          </w:p>
        </w:tc>
      </w:tr>
    </w:tbl>
    <w:p>
      <w:pPr>
        <w:spacing w:after="80"/>
      </w:pPr>
    </w:p>
    <w:p>
      <w:pPr>
        <w:spacing w:after="140" w:line="276" w:lineRule="auto"/>
      </w:pPr>
      <w:r>
        <w:rPr>
          <w:rFonts w:ascii="Calibri" w:hAnsi="Calibri"/>
          <w:b w:val="0"/>
          <w:i w:val="0"/>
          <w:color w:val="222222"/>
          <w:sz w:val="21"/>
        </w:rPr>
        <w:t>Distribuição setorial das sessões: Academia 3 sessões e 75 evidências · Privado 3 sessões e 76 evidências · Público 7 sessões e 222 evidências · Sociedade Civil 4 sessões e 114 evidências.</w:t>
      </w:r>
    </w:p>
    <w:p>
      <w:pPr>
        <w:spacing w:before="220" w:after="60"/>
      </w:pPr>
      <w:r>
        <w:rPr>
          <w:rFonts w:ascii="Calibri" w:hAnsi="Calibri"/>
          <w:b/>
          <w:i w:val="0"/>
          <w:color w:val="4E9F3D"/>
          <w:sz w:val="24"/>
        </w:rPr>
        <w:t>1.1. Unidade de registro</w:t>
      </w:r>
    </w:p>
    <w:p>
      <w:pPr>
        <w:spacing w:after="140" w:line="276" w:lineRule="auto"/>
      </w:pPr>
      <w:r>
        <w:rPr>
          <w:rFonts w:ascii="Calibri" w:hAnsi="Calibri"/>
          <w:b w:val="0"/>
          <w:i w:val="0"/>
          <w:color w:val="222222"/>
          <w:sz w:val="21"/>
        </w:rPr>
        <w:t>A unidade de registro é a evidência, não a entrevista nem a resposta. Cada evidência é um trecho anonimizado, com marca de tempo, vinculado a uma única dimensão, com tipo, maturidade, alinhamento e confiança. A paráfrase é o juízo do codificador e é o que se cita; o trecho permanece como lastro verificável.</w:t>
      </w:r>
    </w:p>
    <w:p>
      <w:pPr>
        <w:spacing w:before="320" w:after="80"/>
      </w:pPr>
      <w:r>
        <w:rPr>
          <w:rFonts w:ascii="Calibri" w:hAnsi="Calibri"/>
          <w:b/>
          <w:i w:val="0"/>
          <w:color w:val="0F4C5C"/>
          <w:sz w:val="28"/>
        </w:rPr>
        <w:t>2. Cobertura por prioridade</w:t>
      </w:r>
    </w:p>
    <w:p>
      <w:pPr>
        <w:spacing w:after="140" w:line="276" w:lineRule="auto"/>
      </w:pPr>
      <w:r>
        <w:rPr>
          <w:rFonts w:ascii="Calibri" w:hAnsi="Calibri"/>
          <w:b w:val="0"/>
          <w:i w:val="0"/>
          <w:color w:val="222222"/>
          <w:sz w:val="21"/>
        </w:rPr>
        <w:t>A prioridade é a atribuída a Maringá no Produto 02. A leitura relevante não é quantas dimensões foram cobertas, e sim se as de maior prioridade foram.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592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i w:val="0"/>
                <w:color w:val="0F4C5C"/>
                <w:sz w:val="19"/>
              </w:rPr>
              <w:t>Prioridade</w:t>
            </w:r>
          </w:p>
        </w:tc>
        <w:tc>
          <w:tcPr>
            <w:tcW w:type="dxa" w:w="1872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i w:val="0"/>
                <w:color w:val="0F4C5C"/>
                <w:sz w:val="19"/>
              </w:rPr>
              <w:t>Dimensões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i w:val="0"/>
                <w:color w:val="0F4C5C"/>
                <w:sz w:val="19"/>
              </w:rPr>
              <w:t>Com evidência</w:t>
            </w:r>
          </w:p>
        </w:tc>
        <w:tc>
          <w:tcPr>
            <w:tcW w:type="dxa" w:w="1872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i w:val="0"/>
                <w:color w:val="0F4C5C"/>
                <w:sz w:val="19"/>
              </w:rPr>
              <w:t>Evidências</w:t>
            </w:r>
          </w:p>
        </w:tc>
      </w:tr>
      <w:tr>
        <w:tc>
          <w:tcPr>
            <w:tcW w:type="dxa" w:w="259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Muito alta</w:t>
            </w:r>
          </w:p>
        </w:tc>
        <w:tc>
          <w:tcPr>
            <w:tcW w:type="dxa" w:w="187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24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24</w:t>
            </w:r>
          </w:p>
        </w:tc>
        <w:tc>
          <w:tcPr>
            <w:tcW w:type="dxa" w:w="187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294</w:t>
            </w:r>
          </w:p>
        </w:tc>
      </w:tr>
      <w:tr>
        <w:tc>
          <w:tcPr>
            <w:tcW w:type="dxa" w:w="259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Alta</w:t>
            </w:r>
          </w:p>
        </w:tc>
        <w:tc>
          <w:tcPr>
            <w:tcW w:type="dxa" w:w="187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23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23</w:t>
            </w:r>
          </w:p>
        </w:tc>
        <w:tc>
          <w:tcPr>
            <w:tcW w:type="dxa" w:w="187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177</w:t>
            </w:r>
          </w:p>
        </w:tc>
      </w:tr>
      <w:tr>
        <w:tc>
          <w:tcPr>
            <w:tcW w:type="dxa" w:w="259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Média</w:t>
            </w:r>
          </w:p>
        </w:tc>
        <w:tc>
          <w:tcPr>
            <w:tcW w:type="dxa" w:w="187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7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3</w:t>
            </w:r>
          </w:p>
        </w:tc>
        <w:tc>
          <w:tcPr>
            <w:tcW w:type="dxa" w:w="187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15</w:t>
            </w:r>
          </w:p>
        </w:tc>
      </w:tr>
      <w:tr>
        <w:tc>
          <w:tcPr>
            <w:tcW w:type="dxa" w:w="259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Baixa</w:t>
            </w:r>
          </w:p>
        </w:tc>
        <w:tc>
          <w:tcPr>
            <w:tcW w:type="dxa" w:w="187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0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0</w:t>
            </w:r>
          </w:p>
        </w:tc>
        <w:tc>
          <w:tcPr>
            <w:tcW w:type="dxa" w:w="187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0</w:t>
            </w:r>
          </w:p>
        </w:tc>
      </w:tr>
    </w:tbl>
    <w:p>
      <w:pPr>
        <w:spacing w:after="80"/>
      </w:pPr>
    </w:p>
    <w:p>
      <w:pPr>
        <w:spacing w:before="220" w:after="60"/>
      </w:pPr>
      <w:r>
        <w:rPr>
          <w:rFonts w:ascii="Calibri" w:hAnsi="Calibri"/>
          <w:b/>
          <w:i w:val="0"/>
          <w:color w:val="4E9F3D"/>
          <w:sz w:val="24"/>
        </w:rPr>
        <w:t>2.1. Graduação de maturidade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032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i w:val="0"/>
                <w:color w:val="0F4C5C"/>
                <w:sz w:val="19"/>
              </w:rPr>
              <w:t>Estágio</w:t>
            </w:r>
          </w:p>
        </w:tc>
        <w:tc>
          <w:tcPr>
            <w:tcW w:type="dxa" w:w="2016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i w:val="0"/>
                <w:color w:val="0F4C5C"/>
                <w:sz w:val="19"/>
              </w:rPr>
              <w:t>Evidências</w:t>
            </w:r>
          </w:p>
        </w:tc>
      </w:tr>
      <w:tr>
        <w:tc>
          <w:tcPr>
            <w:tcW w:type="dxa" w:w="403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Inexistente</w:t>
            </w:r>
          </w:p>
        </w:tc>
        <w:tc>
          <w:tcPr>
            <w:tcW w:type="dxa" w:w="2016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206</w:t>
            </w:r>
          </w:p>
        </w:tc>
      </w:tr>
      <w:tr>
        <w:tc>
          <w:tcPr>
            <w:tcW w:type="dxa" w:w="403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Em elaboração</w:t>
            </w:r>
          </w:p>
        </w:tc>
        <w:tc>
          <w:tcPr>
            <w:tcW w:type="dxa" w:w="2016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77</w:t>
            </w:r>
          </w:p>
        </w:tc>
      </w:tr>
      <w:tr>
        <w:tc>
          <w:tcPr>
            <w:tcW w:type="dxa" w:w="403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Formalizado</w:t>
            </w:r>
          </w:p>
        </w:tc>
        <w:tc>
          <w:tcPr>
            <w:tcW w:type="dxa" w:w="2016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14</w:t>
            </w:r>
          </w:p>
        </w:tc>
      </w:tr>
      <w:tr>
        <w:tc>
          <w:tcPr>
            <w:tcW w:type="dxa" w:w="403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Regulamentado</w:t>
            </w:r>
          </w:p>
        </w:tc>
        <w:tc>
          <w:tcPr>
            <w:tcW w:type="dxa" w:w="2016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13</w:t>
            </w:r>
          </w:p>
        </w:tc>
      </w:tr>
      <w:tr>
        <w:tc>
          <w:tcPr>
            <w:tcW w:type="dxa" w:w="403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Em implementação</w:t>
            </w:r>
          </w:p>
        </w:tc>
        <w:tc>
          <w:tcPr>
            <w:tcW w:type="dxa" w:w="2016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159</w:t>
            </w:r>
          </w:p>
        </w:tc>
      </w:tr>
      <w:tr>
        <w:tc>
          <w:tcPr>
            <w:tcW w:type="dxa" w:w="403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Monitorado</w:t>
            </w:r>
          </w:p>
        </w:tc>
        <w:tc>
          <w:tcPr>
            <w:tcW w:type="dxa" w:w="2016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</w:t>
            </w:r>
          </w:p>
        </w:tc>
      </w:tr>
      <w:tr>
        <w:tc>
          <w:tcPr>
            <w:tcW w:type="dxa" w:w="403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Efetivo</w:t>
            </w:r>
          </w:p>
        </w:tc>
        <w:tc>
          <w:tcPr>
            <w:tcW w:type="dxa" w:w="2016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17</w:t>
            </w:r>
          </w:p>
        </w:tc>
      </w:tr>
    </w:tbl>
    <w:p>
      <w:pPr>
        <w:spacing w:after="80"/>
      </w:pPr>
    </w:p>
    <w:p>
      <w:pPr>
        <w:spacing w:before="40" w:after="200"/>
      </w:pPr>
      <w:r>
        <w:rPr>
          <w:rFonts w:ascii="Calibri" w:hAnsi="Calibri"/>
          <w:b w:val="0"/>
          <w:i/>
          <w:color w:val="666666"/>
          <w:sz w:val="18"/>
        </w:rPr>
        <w:t xml:space="preserve">Os estágios somam 487 e não 494: 6 classificadas como «Sem evidência (pendência)» e 1 classificada como «Não aplicável» ficam fora da escala. «Sem evidência» é pendência de verificação documental, não ausência constatada, e somá-la a «inexistente» transformaria pendência em achado.</w:t>
      </w:r>
    </w:p>
    <w:p>
      <w:pPr>
        <w:spacing w:before="320" w:after="80"/>
      </w:pPr>
      <w:r>
        <w:rPr>
          <w:rFonts w:ascii="Calibri" w:hAnsi="Calibri"/>
          <w:b/>
          <w:i w:val="0"/>
          <w:color w:val="0F4C5C"/>
          <w:sz w:val="28"/>
        </w:rPr>
        <w:t>3. A matriz das subcategorias</w:t>
      </w:r>
    </w:p>
    <w:p>
      <w:pPr>
        <w:spacing w:after="140" w:line="276" w:lineRule="auto"/>
      </w:pPr>
      <w:r>
        <w:rPr>
          <w:rFonts w:ascii="Calibri" w:hAnsi="Calibri"/>
          <w:b w:val="0"/>
          <w:i w:val="0"/>
          <w:color w:val="222222"/>
          <w:sz w:val="21"/>
        </w:rPr>
        <w:t>A maturidade da subcategoria é a moda das evidências graduadas, e não a média. A escala é ordinal: a média entre «inexistente» e «efetivo» não descreve nenhum estado real. Em empate, prevalece o estágio menor, que é a leitura conservadora. O perfil diz se a distribuição é concentrada, dispersa ou bimodal, e a bimodalidade é informação: significa que a mesma subcategoria tem instrumento formalizado e prática ausente.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i w:val="0"/>
                <w:color w:val="0F4C5C"/>
                <w:sz w:val="19"/>
              </w:rPr>
              <w:t>#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i w:val="0"/>
                <w:color w:val="0F4C5C"/>
                <w:sz w:val="19"/>
              </w:rPr>
              <w:t>Subcategoria</w:t>
            </w:r>
          </w:p>
        </w:tc>
        <w:tc>
          <w:tcPr>
            <w:tcW w:type="dxa" w:w="864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i w:val="0"/>
                <w:color w:val="0F4C5C"/>
                <w:sz w:val="19"/>
              </w:rPr>
              <w:t>Dim.</w:t>
            </w:r>
          </w:p>
        </w:tc>
        <w:tc>
          <w:tcPr>
            <w:tcW w:type="dxa" w:w="864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i w:val="0"/>
                <w:color w:val="0F4C5C"/>
                <w:sz w:val="19"/>
              </w:rPr>
              <w:t>Evid.</w:t>
            </w:r>
          </w:p>
        </w:tc>
        <w:tc>
          <w:tcPr>
            <w:tcW w:type="dxa" w:w="1008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i w:val="0"/>
                <w:color w:val="0F4C5C"/>
                <w:sz w:val="19"/>
              </w:rPr>
              <w:t>Sessões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i w:val="0"/>
                <w:color w:val="0F4C5C"/>
                <w:sz w:val="19"/>
              </w:rPr>
              <w:t>Maturidade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i w:val="0"/>
                <w:color w:val="0F4C5C"/>
                <w:sz w:val="19"/>
              </w:rPr>
              <w:t>% inexist.</w:t>
            </w:r>
          </w:p>
        </w:tc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i w:val="0"/>
                <w:color w:val="0F4C5C"/>
                <w:sz w:val="19"/>
              </w:rPr>
              <w:t>Perfil</w:t>
            </w:r>
          </w:p>
        </w:tc>
      </w:tr>
      <w:tr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1.1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Políticas subnacionais de mudança do clima</w:t>
            </w:r>
          </w:p>
        </w:tc>
        <w:tc>
          <w:tcPr>
            <w:tcW w:type="dxa" w:w="8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6/8</w:t>
            </w:r>
          </w:p>
        </w:tc>
        <w:tc>
          <w:tcPr>
            <w:tcW w:type="dxa" w:w="8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102</w:t>
            </w:r>
          </w:p>
        </w:tc>
        <w:tc>
          <w:tcPr>
            <w:tcW w:type="dxa" w:w="1008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Em implementação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26%</w:t>
            </w:r>
          </w:p>
        </w:tc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bimodal: Em implementação / Inexistente</w:t>
            </w:r>
          </w:p>
        </w:tc>
      </w:tr>
      <w:tr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1.2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Implementação da ação climática subnacional</w:t>
            </w:r>
          </w:p>
        </w:tc>
        <w:tc>
          <w:tcPr>
            <w:tcW w:type="dxa" w:w="8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2/2</w:t>
            </w:r>
          </w:p>
        </w:tc>
        <w:tc>
          <w:tcPr>
            <w:tcW w:type="dxa" w:w="8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52</w:t>
            </w:r>
          </w:p>
        </w:tc>
        <w:tc>
          <w:tcPr>
            <w:tcW w:type="dxa" w:w="1008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16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Inexistente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54%</w:t>
            </w:r>
          </w:p>
        </w:tc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bimodal: Inexistente / Em implementação</w:t>
            </w:r>
          </w:p>
        </w:tc>
      </w:tr>
      <w:tr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2.1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Fontes subnacionais de recursos para ação climática urbana</w:t>
            </w:r>
          </w:p>
        </w:tc>
        <w:tc>
          <w:tcPr>
            <w:tcW w:type="dxa" w:w="8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7/7</w:t>
            </w:r>
          </w:p>
        </w:tc>
        <w:tc>
          <w:tcPr>
            <w:tcW w:type="dxa" w:w="8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62</w:t>
            </w:r>
          </w:p>
        </w:tc>
        <w:tc>
          <w:tcPr>
            <w:tcW w:type="dxa" w:w="1008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Inexistente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46%</w:t>
            </w:r>
          </w:p>
        </w:tc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bimodal: Inexistente / Em implementação</w:t>
            </w:r>
          </w:p>
        </w:tc>
      </w:tr>
      <w:tr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2.2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Orçamento verde subnacional</w:t>
            </w:r>
          </w:p>
        </w:tc>
        <w:tc>
          <w:tcPr>
            <w:tcW w:type="dxa" w:w="8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3/3</w:t>
            </w:r>
          </w:p>
        </w:tc>
        <w:tc>
          <w:tcPr>
            <w:tcW w:type="dxa" w:w="8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14</w:t>
            </w:r>
          </w:p>
        </w:tc>
        <w:tc>
          <w:tcPr>
            <w:tcW w:type="dxa" w:w="1008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Inexistente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67%</w:t>
            </w:r>
          </w:p>
        </w:tc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bimodal: Inexistente / Em implementação</w:t>
            </w:r>
          </w:p>
        </w:tc>
      </w:tr>
      <w:tr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2.3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Mobilização de receitas subnacionais</w:t>
            </w:r>
          </w:p>
        </w:tc>
        <w:tc>
          <w:tcPr>
            <w:tcW w:type="dxa" w:w="8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4/4</w:t>
            </w:r>
          </w:p>
        </w:tc>
        <w:tc>
          <w:tcPr>
            <w:tcW w:type="dxa" w:w="8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18</w:t>
            </w:r>
          </w:p>
        </w:tc>
        <w:tc>
          <w:tcPr>
            <w:tcW w:type="dxa" w:w="1008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10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Regulamentado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28%</w:t>
            </w:r>
          </w:p>
        </w:tc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bimodal: Regulamentado / Inexistente</w:t>
            </w:r>
          </w:p>
        </w:tc>
      </w:tr>
      <w:tr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2.4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Mobilização de finanças privadas</w:t>
            </w:r>
          </w:p>
        </w:tc>
        <w:tc>
          <w:tcPr>
            <w:tcW w:type="dxa" w:w="8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2/2</w:t>
            </w:r>
          </w:p>
        </w:tc>
        <w:tc>
          <w:tcPr>
            <w:tcW w:type="dxa" w:w="8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26</w:t>
            </w:r>
          </w:p>
        </w:tc>
        <w:tc>
          <w:tcPr>
            <w:tcW w:type="dxa" w:w="1008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12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Inexistente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46%</w:t>
            </w:r>
          </w:p>
        </w:tc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bimodal: Inexistente / Em implementação</w:t>
            </w:r>
          </w:p>
        </w:tc>
      </w:tr>
      <w:tr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2.5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Capacidade de crédito, endividamento e acesso a mercado de capitais</w:t>
            </w:r>
          </w:p>
        </w:tc>
        <w:tc>
          <w:tcPr>
            <w:tcW w:type="dxa" w:w="8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3/5</w:t>
            </w:r>
          </w:p>
        </w:tc>
        <w:tc>
          <w:tcPr>
            <w:tcW w:type="dxa" w:w="8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6</w:t>
            </w:r>
          </w:p>
        </w:tc>
        <w:tc>
          <w:tcPr>
            <w:tcW w:type="dxa" w:w="1008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Em implementação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17%</w:t>
            </w:r>
          </w:p>
        </w:tc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disperso</w:t>
            </w:r>
          </w:p>
        </w:tc>
      </w:tr>
      <w:tr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2.6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Cofinanciamento e finanças inovadoras</w:t>
            </w:r>
          </w:p>
        </w:tc>
        <w:tc>
          <w:tcPr>
            <w:tcW w:type="dxa" w:w="8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4/4</w:t>
            </w:r>
          </w:p>
        </w:tc>
        <w:tc>
          <w:tcPr>
            <w:tcW w:type="dxa" w:w="8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10</w:t>
            </w:r>
          </w:p>
        </w:tc>
        <w:tc>
          <w:tcPr>
            <w:tcW w:type="dxa" w:w="1008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6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Em elaboração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10%</w:t>
            </w:r>
          </w:p>
        </w:tc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bimodal: Em elaboração / Em implementação</w:t>
            </w:r>
          </w:p>
        </w:tc>
      </w:tr>
      <w:tr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3.1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Reporte de dados climáticos no nível subnacional</w:t>
            </w:r>
          </w:p>
        </w:tc>
        <w:tc>
          <w:tcPr>
            <w:tcW w:type="dxa" w:w="8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3/3</w:t>
            </w:r>
          </w:p>
        </w:tc>
        <w:tc>
          <w:tcPr>
            <w:tcW w:type="dxa" w:w="8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25</w:t>
            </w:r>
          </w:p>
        </w:tc>
        <w:tc>
          <w:tcPr>
            <w:tcW w:type="dxa" w:w="1008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14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Inexistente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44%</w:t>
            </w:r>
          </w:p>
        </w:tc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disperso</w:t>
            </w:r>
          </w:p>
        </w:tc>
      </w:tr>
      <w:tr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3.2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Disponibilidade de dados climáticos e parcerias de análise</w:t>
            </w:r>
          </w:p>
        </w:tc>
        <w:tc>
          <w:tcPr>
            <w:tcW w:type="dxa" w:w="8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5/5</w:t>
            </w:r>
          </w:p>
        </w:tc>
        <w:tc>
          <w:tcPr>
            <w:tcW w:type="dxa" w:w="8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69</w:t>
            </w:r>
          </w:p>
        </w:tc>
        <w:tc>
          <w:tcPr>
            <w:tcW w:type="dxa" w:w="1008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16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Inexistente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52%</w:t>
            </w:r>
          </w:p>
        </w:tc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disperso</w:t>
            </w:r>
          </w:p>
        </w:tc>
      </w:tr>
      <w:tr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4.1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Coordenação entre níveis de governo</w:t>
            </w:r>
          </w:p>
        </w:tc>
        <w:tc>
          <w:tcPr>
            <w:tcW w:type="dxa" w:w="8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5/5</w:t>
            </w:r>
          </w:p>
        </w:tc>
        <w:tc>
          <w:tcPr>
            <w:tcW w:type="dxa" w:w="8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35</w:t>
            </w:r>
          </w:p>
        </w:tc>
        <w:tc>
          <w:tcPr>
            <w:tcW w:type="dxa" w:w="1008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16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Inexistente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52%</w:t>
            </w:r>
          </w:p>
        </w:tc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bimodal: Inexistente / Em implementação</w:t>
            </w:r>
          </w:p>
        </w:tc>
      </w:tr>
      <w:tr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4.2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Participação pública e engajamento de atores</w:t>
            </w:r>
          </w:p>
        </w:tc>
        <w:tc>
          <w:tcPr>
            <w:tcW w:type="dxa" w:w="8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4/4</w:t>
            </w:r>
          </w:p>
        </w:tc>
        <w:tc>
          <w:tcPr>
            <w:tcW w:type="dxa" w:w="8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61</w:t>
            </w:r>
          </w:p>
        </w:tc>
        <w:tc>
          <w:tcPr>
            <w:tcW w:type="dxa" w:w="1008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16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Inexistente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51%</w:t>
            </w:r>
          </w:p>
        </w:tc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disperso</w:t>
            </w:r>
          </w:p>
        </w:tc>
      </w:tr>
      <w:tr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4.3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Cooperação subnacional e aprendizagem entre pares</w:t>
            </w:r>
          </w:p>
        </w:tc>
        <w:tc>
          <w:tcPr>
            <w:tcW w:type="dxa" w:w="8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3/3</w:t>
            </w:r>
          </w:p>
        </w:tc>
        <w:tc>
          <w:tcPr>
            <w:tcW w:type="dxa" w:w="8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14</w:t>
            </w:r>
          </w:p>
        </w:tc>
        <w:tc>
          <w:tcPr>
            <w:tcW w:type="dxa" w:w="1008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8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Em implementação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14%</w:t>
            </w:r>
          </w:p>
        </w:tc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disperso</w:t>
            </w:r>
          </w:p>
        </w:tc>
      </w:tr>
    </w:tbl>
    <w:p>
      <w:pPr>
        <w:spacing w:after="80"/>
      </w:pPr>
    </w:p>
    <w:p>
      <w:pPr>
        <w:spacing w:before="320" w:after="80"/>
      </w:pPr>
      <w:r>
        <w:rPr>
          <w:rFonts w:ascii="Calibri" w:hAnsi="Calibri"/>
          <w:b/>
          <w:i w:val="0"/>
          <w:color w:val="0F4C5C"/>
          <w:sz w:val="28"/>
        </w:rPr>
        <w:t>4. Leitura por eixo</w:t>
      </w:r>
    </w:p>
    <w:p>
      <w:pPr>
        <w:spacing w:after="140" w:line="276" w:lineRule="auto"/>
      </w:pPr>
      <w:r>
        <w:rPr>
          <w:rFonts w:ascii="Calibri" w:hAnsi="Calibri"/>
          <w:b/>
          <w:i w:val="0"/>
          <w:color w:val="222222"/>
          <w:sz w:val="21"/>
        </w:rPr>
        <w:t xml:space="preserve">Eixo 1, Política Climática. </w:t>
      </w:r>
      <w:r>
        <w:rPr>
          <w:rFonts w:ascii="Calibri" w:hAnsi="Calibri"/>
          <w:b w:val="0"/>
          <w:i w:val="0"/>
          <w:color w:val="222222"/>
          <w:sz w:val="21"/>
        </w:rPr>
        <w:t>2 subcategorias, 8 de 10 dimensões com evidência, 154 evidências. Maturidade modal predominante: em implementação. Há bimodalidade em 1.1, 1.2.</w:t>
      </w:r>
    </w:p>
    <w:p>
      <w:pPr>
        <w:spacing w:after="140" w:line="276" w:lineRule="auto"/>
      </w:pPr>
      <w:r>
        <w:rPr>
          <w:rFonts w:ascii="Calibri" w:hAnsi="Calibri"/>
          <w:b/>
          <w:i w:val="0"/>
          <w:color w:val="222222"/>
          <w:sz w:val="21"/>
        </w:rPr>
        <w:t xml:space="preserve">Eixo 2, Orçamento e Finanças. </w:t>
      </w:r>
      <w:r>
        <w:rPr>
          <w:rFonts w:ascii="Calibri" w:hAnsi="Calibri"/>
          <w:b w:val="0"/>
          <w:i w:val="0"/>
          <w:color w:val="222222"/>
          <w:sz w:val="21"/>
        </w:rPr>
        <w:t>6 subcategorias, 23 de 25 dimensões com evidência, 136 evidências. Maturidade modal predominante: inexistente. Há bimodalidade em 2.1, 2.2, 2.3, 2.4, 2.6.</w:t>
      </w:r>
    </w:p>
    <w:p>
      <w:pPr>
        <w:spacing w:after="140" w:line="276" w:lineRule="auto"/>
      </w:pPr>
      <w:r>
        <w:rPr>
          <w:rFonts w:ascii="Calibri" w:hAnsi="Calibri"/>
          <w:b/>
          <w:i w:val="0"/>
          <w:color w:val="222222"/>
          <w:sz w:val="21"/>
        </w:rPr>
        <w:t xml:space="preserve">Eixo 3, Dados Climáticos. </w:t>
      </w:r>
      <w:r>
        <w:rPr>
          <w:rFonts w:ascii="Calibri" w:hAnsi="Calibri"/>
          <w:b w:val="0"/>
          <w:i w:val="0"/>
          <w:color w:val="222222"/>
          <w:sz w:val="21"/>
        </w:rPr>
        <w:t>2 subcategorias, 8 de 8 dimensões com evidência, 94 evidências. Maturidade modal predominante: inexistente. Sem bimodalidade.</w:t>
      </w:r>
    </w:p>
    <w:p>
      <w:pPr>
        <w:spacing w:after="140" w:line="276" w:lineRule="auto"/>
      </w:pPr>
      <w:r>
        <w:rPr>
          <w:rFonts w:ascii="Calibri" w:hAnsi="Calibri"/>
          <w:b/>
          <w:i w:val="0"/>
          <w:color w:val="222222"/>
          <w:sz w:val="21"/>
        </w:rPr>
        <w:t xml:space="preserve">Eixo 4, Coordenação Vertical e Horizontal. </w:t>
      </w:r>
      <w:r>
        <w:rPr>
          <w:rFonts w:ascii="Calibri" w:hAnsi="Calibri"/>
          <w:b w:val="0"/>
          <w:i w:val="0"/>
          <w:color w:val="222222"/>
          <w:sz w:val="21"/>
        </w:rPr>
        <w:t>3 subcategorias, 12 de 12 dimensões com evidência, 110 evidências. Maturidade modal predominante: inexistente. Há bimodalidade em 4.1.</w:t>
      </w:r>
    </w:p>
    <w:p>
      <w:pPr>
        <w:spacing w:before="320" w:after="80"/>
      </w:pPr>
      <w:r>
        <w:rPr>
          <w:rFonts w:ascii="Calibri" w:hAnsi="Calibri"/>
          <w:b/>
          <w:i w:val="0"/>
          <w:color w:val="0F4C5C"/>
          <w:sz w:val="28"/>
        </w:rPr>
        <w:t>5. O que cada grupo de atores enxerga</w:t>
      </w:r>
    </w:p>
    <w:p>
      <w:pPr>
        <w:spacing w:after="140" w:line="276" w:lineRule="auto"/>
      </w:pPr>
      <w:r>
        <w:rPr>
          <w:rFonts w:ascii="Calibri" w:hAnsi="Calibri"/>
          <w:b w:val="0"/>
          <w:i w:val="0"/>
          <w:color w:val="222222"/>
          <w:sz w:val="21"/>
        </w:rPr>
        <w:t>A mesma dimensão recebe graduação diferente conforme quem fala. A divergência não é ruído a resolver: é o achado que a etapa de validação participativa tem de tratar.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736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i w:val="0"/>
                <w:color w:val="0F4C5C"/>
                <w:sz w:val="19"/>
              </w:rPr>
              <w:t>Grupo</w:t>
            </w:r>
          </w:p>
        </w:tc>
        <w:tc>
          <w:tcPr>
            <w:tcW w:type="dxa" w:w="1872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i w:val="0"/>
                <w:color w:val="0F4C5C"/>
                <w:sz w:val="19"/>
              </w:rPr>
              <w:t>Evidências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i w:val="0"/>
                <w:color w:val="0F4C5C"/>
                <w:sz w:val="19"/>
              </w:rPr>
              <w:t>% inexistente</w:t>
            </w:r>
          </w:p>
        </w:tc>
        <w:tc>
          <w:tcPr>
            <w:tcW w:type="dxa" w:w="2448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i w:val="0"/>
                <w:color w:val="0F4C5C"/>
                <w:sz w:val="19"/>
              </w:rPr>
              <w:t>Maturidade modal</w:t>
            </w:r>
          </w:p>
        </w:tc>
      </w:tr>
      <w:tr>
        <w:tc>
          <w:tcPr>
            <w:tcW w:type="dxa" w:w="2736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Academia</w:t>
            </w:r>
          </w:p>
        </w:tc>
        <w:tc>
          <w:tcPr>
            <w:tcW w:type="dxa" w:w="187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75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61%</w:t>
            </w:r>
          </w:p>
        </w:tc>
        <w:tc>
          <w:tcPr>
            <w:tcW w:type="dxa" w:w="244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Inexistente</w:t>
            </w:r>
          </w:p>
        </w:tc>
      </w:tr>
      <w:tr>
        <w:tc>
          <w:tcPr>
            <w:tcW w:type="dxa" w:w="2736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Privado</w:t>
            </w:r>
          </w:p>
        </w:tc>
        <w:tc>
          <w:tcPr>
            <w:tcW w:type="dxa" w:w="187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76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50%</w:t>
            </w:r>
          </w:p>
        </w:tc>
        <w:tc>
          <w:tcPr>
            <w:tcW w:type="dxa" w:w="244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Inexistente</w:t>
            </w:r>
          </w:p>
        </w:tc>
      </w:tr>
      <w:tr>
        <w:tc>
          <w:tcPr>
            <w:tcW w:type="dxa" w:w="2736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Público</w:t>
            </w:r>
          </w:p>
        </w:tc>
        <w:tc>
          <w:tcPr>
            <w:tcW w:type="dxa" w:w="187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222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33%</w:t>
            </w:r>
          </w:p>
        </w:tc>
        <w:tc>
          <w:tcPr>
            <w:tcW w:type="dxa" w:w="244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Em implementação</w:t>
            </w:r>
          </w:p>
        </w:tc>
      </w:tr>
      <w:tr>
        <w:tc>
          <w:tcPr>
            <w:tcW w:type="dxa" w:w="2736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Sociedade Civil</w:t>
            </w:r>
          </w:p>
        </w:tc>
        <w:tc>
          <w:tcPr>
            <w:tcW w:type="dxa" w:w="187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114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42%</w:t>
            </w:r>
          </w:p>
        </w:tc>
        <w:tc>
          <w:tcPr>
            <w:tcW w:type="dxa" w:w="244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Inexistente</w:t>
            </w:r>
          </w:p>
        </w:tc>
      </w:tr>
    </w:tbl>
    <w:p>
      <w:pPr>
        <w:spacing w:after="80"/>
      </w:pPr>
    </w:p>
    <w:p>
      <w:pPr>
        <w:spacing w:before="320" w:after="80"/>
      </w:pPr>
      <w:r>
        <w:rPr>
          <w:rFonts w:ascii="Calibri" w:hAnsi="Calibri"/>
          <w:b/>
          <w:i w:val="0"/>
          <w:color w:val="0F4C5C"/>
          <w:sz w:val="28"/>
        </w:rPr>
        <w:t>6. Dimensões sem evidência</w:t>
      </w:r>
    </w:p>
    <w:p>
      <w:pPr>
        <w:spacing w:after="140" w:line="276" w:lineRule="auto"/>
      </w:pPr>
      <w:r>
        <w:rPr>
          <w:rFonts w:ascii="Calibri" w:hAnsi="Calibri"/>
          <w:b w:val="0"/>
          <w:i w:val="0"/>
          <w:color w:val="222222"/>
          <w:sz w:val="21"/>
        </w:rPr>
        <w:t xml:space="preserve">4 das 55 dimensões atravessaram o corpus sem qualquer evidência codificada. Ausência de evidência é resultado, e não falha de coleta: uma dimensão prioritária sobre a qual ninguém falou é achado do diagnóstico.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296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i w:val="0"/>
                <w:color w:val="0F4C5C"/>
                <w:sz w:val="19"/>
              </w:rPr>
              <w:t>Dimensão</w:t>
            </w:r>
          </w:p>
        </w:tc>
        <w:tc>
          <w:tcPr>
            <w:tcW w:type="dxa" w:w="1584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i w:val="0"/>
                <w:color w:val="0F4C5C"/>
                <w:sz w:val="19"/>
              </w:rPr>
              <w:t>Prioridade</w:t>
            </w:r>
          </w:p>
        </w:tc>
        <w:tc>
          <w:tcPr>
            <w:tcW w:type="dxa" w:w="1296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i w:val="0"/>
                <w:color w:val="0F4C5C"/>
                <w:sz w:val="19"/>
              </w:rPr>
              <w:t>Subcategoria</w:t>
            </w:r>
          </w:p>
        </w:tc>
        <w:tc>
          <w:tcPr>
            <w:tcW w:type="dxa" w:w="4752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i w:val="0"/>
                <w:color w:val="0F4C5C"/>
                <w:sz w:val="19"/>
              </w:rPr>
              <w:t>Nome</w:t>
            </w:r>
          </w:p>
        </w:tc>
      </w:tr>
      <w:tr>
        <w:tc>
          <w:tcPr>
            <w:tcW w:type="dxa" w:w="1296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1.1.2</w:t>
            </w:r>
          </w:p>
        </w:tc>
        <w:tc>
          <w:tcPr>
            <w:tcW w:type="dxa" w:w="158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Média</w:t>
            </w:r>
          </w:p>
        </w:tc>
        <w:tc>
          <w:tcPr>
            <w:tcW w:type="dxa" w:w="1296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Políticas subnacionais de mudança do clima</w:t>
            </w:r>
          </w:p>
        </w:tc>
        <w:tc>
          <w:tcPr>
            <w:tcW w:type="dxa" w:w="475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Alinhamento da mitigação com NDC/Plano estadual</w:t>
            </w:r>
          </w:p>
        </w:tc>
      </w:tr>
      <w:tr>
        <w:tc>
          <w:tcPr>
            <w:tcW w:type="dxa" w:w="1296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1.1.3</w:t>
            </w:r>
          </w:p>
        </w:tc>
        <w:tc>
          <w:tcPr>
            <w:tcW w:type="dxa" w:w="158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Média</w:t>
            </w:r>
          </w:p>
        </w:tc>
        <w:tc>
          <w:tcPr>
            <w:tcW w:type="dxa" w:w="1296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Políticas subnacionais de mudança do clima</w:t>
            </w:r>
          </w:p>
        </w:tc>
        <w:tc>
          <w:tcPr>
            <w:tcW w:type="dxa" w:w="475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MRV para mitigação</w:t>
            </w:r>
          </w:p>
        </w:tc>
      </w:tr>
      <w:tr>
        <w:tc>
          <w:tcPr>
            <w:tcW w:type="dxa" w:w="1296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2.5.4</w:t>
            </w:r>
          </w:p>
        </w:tc>
        <w:tc>
          <w:tcPr>
            <w:tcW w:type="dxa" w:w="158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Média</w:t>
            </w:r>
          </w:p>
        </w:tc>
        <w:tc>
          <w:tcPr>
            <w:tcW w:type="dxa" w:w="1296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Capacidade de crédito, endividamento e acesso a mercado de capitais</w:t>
            </w:r>
          </w:p>
        </w:tc>
        <w:tc>
          <w:tcPr>
            <w:tcW w:type="dxa" w:w="475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Acesso a mercado de capitais</w:t>
            </w:r>
          </w:p>
        </w:tc>
      </w:tr>
      <w:tr>
        <w:tc>
          <w:tcPr>
            <w:tcW w:type="dxa" w:w="1296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2.5.5</w:t>
            </w:r>
          </w:p>
        </w:tc>
        <w:tc>
          <w:tcPr>
            <w:tcW w:type="dxa" w:w="158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Média</w:t>
            </w:r>
          </w:p>
        </w:tc>
        <w:tc>
          <w:tcPr>
            <w:tcW w:type="dxa" w:w="1296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Capacidade de crédito, endividamento e acesso a mercado de capitais</w:t>
            </w:r>
          </w:p>
        </w:tc>
        <w:tc>
          <w:tcPr>
            <w:tcW w:type="dxa" w:w="475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Potencial de títulos verdes ou instrumentos equivalentes</w:t>
            </w:r>
          </w:p>
        </w:tc>
      </w:tr>
    </w:tbl>
    <w:p>
      <w:pPr>
        <w:spacing w:after="80"/>
      </w:pPr>
    </w:p>
    <w:p>
      <w:pPr>
        <w:spacing w:before="320" w:after="80"/>
      </w:pPr>
      <w:r>
        <w:rPr>
          <w:rFonts w:ascii="Calibri" w:hAnsi="Calibri"/>
          <w:b/>
          <w:i w:val="0"/>
          <w:color w:val="0F4C5C"/>
          <w:sz w:val="28"/>
        </w:rPr>
        <w:t>7. Integridade da codificação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222222"/>
          <w:sz w:val="21"/>
        </w:rPr>
        <w:t xml:space="preserve">Triangulação. </w:t>
      </w:r>
      <w:r>
        <w:rPr>
          <w:rFonts w:ascii="Calibri" w:hAnsi="Calibri"/>
          <w:b w:val="0"/>
          <w:i w:val="0"/>
          <w:color w:val="222222"/>
          <w:sz w:val="21"/>
        </w:rPr>
        <w:t>47 dimensões têm evidência de mais de uma sessão; 4 têm fonte única e são assinaladas como tal.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222222"/>
          <w:sz w:val="21"/>
        </w:rPr>
        <w:t xml:space="preserve">Divergência. </w:t>
      </w:r>
      <w:r>
        <w:rPr>
          <w:rFonts w:ascii="Calibri" w:hAnsi="Calibri"/>
          <w:b w:val="0"/>
          <w:i w:val="0"/>
          <w:color w:val="222222"/>
          <w:sz w:val="21"/>
        </w:rPr>
        <w:t>50 evidências divergem entre si e foram preservadas, nunca resolvidas por predominância de fonte.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222222"/>
          <w:sz w:val="21"/>
        </w:rPr>
        <w:t xml:space="preserve">Consentimento. As 17 sessões têm Termo de Consentimento Livre e Esclarecido assinado e arquivado no acervo do projeto.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222222"/>
          <w:sz w:val="21"/>
        </w:rPr>
        <w:t xml:space="preserve">Anonimização. </w:t>
      </w:r>
      <w:r>
        <w:rPr>
          <w:rFonts w:ascii="Calibri" w:hAnsi="Calibri"/>
          <w:b w:val="0"/>
          <w:i w:val="0"/>
          <w:color w:val="222222"/>
          <w:sz w:val="21"/>
        </w:rPr>
        <w:t>Nomes de participantes, de entrevistadores e de terceiros citados foram substituídos por rótulos; trechos autoidentificadores foram suprimidos e cada corte está declarado no codebook, com o contexto e o hash do trecho, nunca com o trecho.</w:t>
      </w:r>
    </w:p>
    <w:p>
      <w:pPr>
        <w:spacing w:before="40" w:after="200"/>
      </w:pPr>
      <w:r>
        <w:rPr>
          <w:rFonts w:ascii="Calibri" w:hAnsi="Calibri"/>
          <w:b w:val="0"/>
          <w:i/>
          <w:color w:val="666666"/>
          <w:sz w:val="18"/>
        </w:rPr>
        <w:t>Documento derivado do codebook versionado. Reproduzível por python -m tools.relatorio_codificacao.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