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spacing w:after="40"/>
        <w:jc w:val="center"/>
      </w:pPr>
      <w:r>
        <w:rPr>
          <w:b/>
          <w:i w:val="0"/>
          <w:color w:val="2E7D32"/>
          <w:sz w:val="24"/>
        </w:rPr>
        <w:t>PREPARATION DOSSIER</w:t>
      </w:r>
    </w:p>
    <w:p>
      <w:pPr>
        <w:spacing w:after="40"/>
        <w:jc w:val="center"/>
      </w:pPr>
      <w:r>
        <w:rPr>
          <w:b/>
          <w:i w:val="0"/>
          <w:color w:val="1B2A3A"/>
          <w:sz w:val="48"/>
        </w:rPr>
        <w:t>Research Visit &amp; Collaboration Mission to the DBFZ — Germany</w:t>
      </w:r>
    </w:p>
    <w:p>
      <w:pPr>
        <w:spacing w:after="360"/>
        <w:jc w:val="center"/>
      </w:pPr>
      <w:r>
        <w:rPr>
          <w:b w:val="0"/>
          <w:i/>
          <w:color w:val="555F6B"/>
          <w:sz w:val="24"/>
        </w:rPr>
        <w:t>Deutsches Biomasseforschungszentrum (German Biomass Research Centre), Leipzig</w:t>
      </w:r>
    </w:p>
    <w:p>
      <w:pPr>
        <w:spacing w:after="40"/>
        <w:jc w:val="center"/>
      </w:pPr>
      <w:r>
        <w:rPr>
          <w:b w:val="0"/>
          <w:i w:val="0"/>
          <w:color w:val="1B2A3A"/>
          <w:sz w:val="22"/>
        </w:rPr>
        <w:t>Two days of meetings · facility tour · data-integration working sessions</w:t>
      </w:r>
    </w:p>
    <w:p>
      <w:pPr>
        <w:spacing w:after="480"/>
        <w:jc w:val="center"/>
      </w:pPr>
      <w:r>
        <w:rPr>
          <w:b/>
          <w:i w:val="0"/>
          <w:color w:val="2E7D32"/>
          <w:sz w:val="22"/>
        </w:rPr>
        <w:t>Prospecting a 2027 international post-doctoral internship (8–12 months)</w:t>
      </w:r>
    </w:p>
    <w:tbl>
      <w:tblPr>
        <w:tblW w:type="auto" w:w="0"/>
        <w:jc w:val="center"/>
        <w:tblLook w:firstColumn="1" w:firstRow="1" w:lastColumn="0" w:lastRow="0" w:noHBand="0" w:noVBand="1" w:val="04A0"/>
      </w:tblPr>
      <w:tblGrid>
        <w:gridCol w:w="4320"/>
        <w:gridCol w:w="4320"/>
      </w:tblGrid>
      <w:tr>
        <w:tc>
          <w:tcPr>
            <w:tcW w:type="dxa" w:w="2736"/>
            <w:shd w:val="clear" w:fill="EAF3EC"/>
          </w:tcPr>
          <w:p>
            <w:r/>
            <w:r>
              <w:rPr>
                <w:rFonts w:ascii="Calibri" w:hAnsi="Calibri"/>
                <w:b/>
                <w:color w:val="1B2A3A"/>
                <w:sz w:val="20"/>
              </w:rPr>
              <w:t>Prepared for</w:t>
            </w:r>
          </w:p>
        </w:tc>
        <w:tc>
          <w:tcPr>
            <w:tcW w:type="dxa" w:w="6192"/>
          </w:tcPr>
          <w:p>
            <w:r/>
            <w:r>
              <w:rPr>
                <w:rFonts w:ascii="Calibri" w:hAnsi="Calibri"/>
                <w:b w:val="0"/>
                <w:sz w:val="20"/>
              </w:rPr>
              <w:t>Lucas Nakamura Cerejo</w:t>
            </w:r>
          </w:p>
        </w:tc>
      </w:tr>
      <w:tr>
        <w:tc>
          <w:tcPr>
            <w:tcW w:type="dxa" w:w="2736"/>
            <w:shd w:val="clear" w:fill="EAF3EC"/>
          </w:tcPr>
          <w:p>
            <w:r/>
            <w:r>
              <w:rPr>
                <w:rFonts w:ascii="Calibri" w:hAnsi="Calibri"/>
                <w:b/>
                <w:color w:val="1B2A3A"/>
                <w:sz w:val="20"/>
              </w:rPr>
              <w:t>Role</w:t>
            </w:r>
          </w:p>
        </w:tc>
        <w:tc>
          <w:tcPr>
            <w:tcW w:type="dxa" w:w="6192"/>
          </w:tcPr>
          <w:p>
            <w:r/>
            <w:r>
              <w:rPr>
                <w:rFonts w:ascii="Calibri" w:hAnsi="Calibri"/>
                <w:b w:val="0"/>
                <w:sz w:val="20"/>
              </w:rPr>
              <w:t>Geospatial &amp; Data Analyst · Lead Developer, PILAR-2b</w:t>
            </w:r>
          </w:p>
        </w:tc>
      </w:tr>
      <w:tr>
        <w:tc>
          <w:tcPr>
            <w:tcW w:type="dxa" w:w="2736"/>
            <w:shd w:val="clear" w:fill="EAF3EC"/>
          </w:tcPr>
          <w:p>
            <w:r/>
            <w:r>
              <w:rPr>
                <w:rFonts w:ascii="Calibri" w:hAnsi="Calibri"/>
                <w:b/>
                <w:color w:val="1B2A3A"/>
                <w:sz w:val="20"/>
              </w:rPr>
              <w:t>Home institution</w:t>
            </w:r>
          </w:p>
        </w:tc>
        <w:tc>
          <w:tcPr>
            <w:tcW w:type="dxa" w:w="6192"/>
          </w:tcPr>
          <w:p>
            <w:r/>
            <w:r>
              <w:rPr>
                <w:rFonts w:ascii="Calibri" w:hAnsi="Calibri"/>
                <w:b w:val="0"/>
                <w:sz w:val="20"/>
              </w:rPr>
              <w:t>NIPE — UNICAMP · CP2B (Campinas, SP, Brazil)</w:t>
            </w:r>
          </w:p>
        </w:tc>
      </w:tr>
      <w:tr>
        <w:tc>
          <w:tcPr>
            <w:tcW w:type="dxa" w:w="2736"/>
            <w:shd w:val="clear" w:fill="EAF3EC"/>
          </w:tcPr>
          <w:p>
            <w:r/>
            <w:r>
              <w:rPr>
                <w:rFonts w:ascii="Calibri" w:hAnsi="Calibri"/>
                <w:b/>
                <w:color w:val="1B2A3A"/>
                <w:sz w:val="20"/>
              </w:rPr>
              <w:t>Funding</w:t>
            </w:r>
          </w:p>
        </w:tc>
        <w:tc>
          <w:tcPr>
            <w:tcW w:type="dxa" w:w="6192"/>
          </w:tcPr>
          <w:p>
            <w:r/>
            <w:r>
              <w:rPr>
                <w:rFonts w:ascii="Calibri" w:hAnsi="Calibri"/>
                <w:b w:val="0"/>
                <w:sz w:val="20"/>
              </w:rPr>
              <w:t>FAPESP 2024/01112-1 (CP2Bsd)</w:t>
            </w:r>
          </w:p>
        </w:tc>
      </w:tr>
      <w:tr>
        <w:tc>
          <w:tcPr>
            <w:tcW w:type="dxa" w:w="2736"/>
            <w:shd w:val="clear" w:fill="EAF3EC"/>
          </w:tcPr>
          <w:p>
            <w:r/>
            <w:r>
              <w:rPr>
                <w:rFonts w:ascii="Calibri" w:hAnsi="Calibri"/>
                <w:b/>
                <w:color w:val="1B2A3A"/>
                <w:sz w:val="20"/>
              </w:rPr>
              <w:t>Host (target)</w:t>
            </w:r>
          </w:p>
        </w:tc>
        <w:tc>
          <w:tcPr>
            <w:tcW w:type="dxa" w:w="6192"/>
          </w:tcPr>
          <w:p>
            <w:r/>
            <w:r>
              <w:rPr>
                <w:rFonts w:ascii="Calibri" w:hAnsi="Calibri"/>
                <w:b w:val="0"/>
                <w:sz w:val="20"/>
              </w:rPr>
              <w:t>DBFZ — Bioenergy Systems Dept. · Working Group “Resources”</w:t>
            </w:r>
          </w:p>
        </w:tc>
      </w:tr>
      <w:tr>
        <w:tc>
          <w:tcPr>
            <w:tcW w:type="dxa" w:w="2736"/>
            <w:shd w:val="clear" w:fill="EAF3EC"/>
          </w:tcPr>
          <w:p>
            <w:r/>
            <w:r>
              <w:rPr>
                <w:rFonts w:ascii="Calibri" w:hAnsi="Calibri"/>
                <w:b/>
                <w:color w:val="1B2A3A"/>
                <w:sz w:val="20"/>
              </w:rPr>
              <w:t>Key counterpart</w:t>
            </w:r>
          </w:p>
        </w:tc>
        <w:tc>
          <w:tcPr>
            <w:tcW w:type="dxa" w:w="6192"/>
          </w:tcPr>
          <w:p>
            <w:r/>
            <w:r>
              <w:rPr>
                <w:rFonts w:ascii="Calibri" w:hAnsi="Calibri"/>
                <w:b w:val="0"/>
                <w:sz w:val="20"/>
              </w:rPr>
              <w:t>Dr. Friederike Naegeli de Torres (Head, WG Resources)</w:t>
            </w:r>
          </w:p>
        </w:tc>
      </w:tr>
      <w:tr>
        <w:tc>
          <w:tcPr>
            <w:tcW w:type="dxa" w:w="2736"/>
            <w:shd w:val="clear" w:fill="EAF3EC"/>
          </w:tcPr>
          <w:p>
            <w:r/>
            <w:r>
              <w:rPr>
                <w:rFonts w:ascii="Calibri" w:hAnsi="Calibri"/>
                <w:b/>
                <w:color w:val="1B2A3A"/>
                <w:sz w:val="20"/>
              </w:rPr>
              <w:t>Document date</w:t>
            </w:r>
          </w:p>
        </w:tc>
        <w:tc>
          <w:tcPr>
            <w:tcW w:type="dxa" w:w="6192"/>
          </w:tcPr>
          <w:p>
            <w:r/>
            <w:r>
              <w:rPr>
                <w:rFonts w:ascii="Calibri" w:hAnsi="Calibri"/>
                <w:b w:val="0"/>
                <w:sz w:val="20"/>
              </w:rPr>
              <w:t>21 June 2026</w:t>
            </w:r>
          </w:p>
        </w:tc>
      </w:tr>
    </w:tbl>
    <w:p>
      <w:pPr>
        <w:spacing w:after="360"/>
      </w:pPr>
    </w:p>
    <w:p>
      <w:pPr>
        <w:jc w:val="center"/>
      </w:pPr>
      <w:r>
        <w:rPr>
          <w:b w:val="0"/>
          <w:i/>
          <w:color w:val="555F6B"/>
          <w:sz w:val="17"/>
        </w:rPr>
        <w:t>Confidential working document — for meeting preparation. Contains draft proposals and talking points to be refined before circulation.</w:t>
      </w:r>
    </w:p>
    <w:p>
      <w:r>
        <w:br w:type="page"/>
      </w:r>
    </w:p>
    <w:p>
      <w:pPr>
        <w:spacing w:after="120"/>
      </w:pPr>
      <w:r>
        <w:rPr>
          <w:b/>
          <w:i w:val="0"/>
          <w:color w:val="2E7D32"/>
          <w:sz w:val="32"/>
        </w:rPr>
        <w:t>Contents</w:t>
      </w:r>
    </w:p>
    <w:p>
      <w:pPr>
        <w:spacing w:after="60"/>
      </w:pPr>
      <w:r>
        <w:rPr>
          <w:color w:val="1B2A3A"/>
          <w:sz w:val="21"/>
        </w:rPr>
        <w:t>1. Executive summary — the mission in one page</w:t>
      </w:r>
    </w:p>
    <w:p>
      <w:pPr>
        <w:spacing w:after="60"/>
      </w:pPr>
      <w:r>
        <w:rPr>
          <w:color w:val="1B2A3A"/>
          <w:sz w:val="21"/>
        </w:rPr>
        <w:t>2. Your objectives and how to frame them (the “ask”)</w:t>
      </w:r>
    </w:p>
    <w:p>
      <w:pPr>
        <w:spacing w:after="60"/>
      </w:pPr>
      <w:r>
        <w:rPr>
          <w:color w:val="1B2A3A"/>
          <w:sz w:val="21"/>
        </w:rPr>
        <w:t>3. Who you are meeting — DBFZ, the department, and Dr. Naegeli de Torres</w:t>
      </w:r>
    </w:p>
    <w:p>
      <w:pPr>
        <w:spacing w:after="60"/>
      </w:pPr>
      <w:r>
        <w:rPr>
          <w:color w:val="1B2A3A"/>
          <w:sz w:val="21"/>
        </w:rPr>
        <w:t>4. DBFZ expertise &amp; developments you must know</w:t>
      </w:r>
    </w:p>
    <w:p>
      <w:pPr>
        <w:spacing w:after="60"/>
      </w:pPr>
      <w:r>
        <w:rPr>
          <w:color w:val="1B2A3A"/>
          <w:sz w:val="21"/>
        </w:rPr>
        <w:t>5. The bridge — PILAR-2b mapped onto DBFZ’s work</w:t>
      </w:r>
    </w:p>
    <w:p>
      <w:pPr>
        <w:spacing w:after="60"/>
      </w:pPr>
      <w:r>
        <w:rPr>
          <w:color w:val="1B2A3A"/>
          <w:sz w:val="21"/>
        </w:rPr>
        <w:t>6. Collaboration menu — concrete proposals, ranked</w:t>
      </w:r>
    </w:p>
    <w:p>
      <w:pPr>
        <w:spacing w:after="60"/>
      </w:pPr>
      <w:r>
        <w:rPr>
          <w:color w:val="1B2A3A"/>
          <w:sz w:val="21"/>
        </w:rPr>
        <w:t>7. The post-doctoral internship — routes, funding, and a draft project</w:t>
      </w:r>
    </w:p>
    <w:p>
      <w:pPr>
        <w:spacing w:after="60"/>
      </w:pPr>
      <w:r>
        <w:rPr>
          <w:color w:val="1B2A3A"/>
          <w:sz w:val="21"/>
        </w:rPr>
        <w:t>8. Proposed two-day agenda</w:t>
      </w:r>
    </w:p>
    <w:p>
      <w:pPr>
        <w:spacing w:after="60"/>
      </w:pPr>
      <w:r>
        <w:rPr>
          <w:color w:val="1B2A3A"/>
          <w:sz w:val="21"/>
        </w:rPr>
        <w:t>9. Data-integration working session — technical preparation</w:t>
      </w:r>
    </w:p>
    <w:p>
      <w:pPr>
        <w:spacing w:after="60"/>
      </w:pPr>
      <w:r>
        <w:rPr>
          <w:color w:val="1B2A3A"/>
          <w:sz w:val="21"/>
        </w:rPr>
        <w:t>10. Questions to ask them</w:t>
      </w:r>
    </w:p>
    <w:p>
      <w:pPr>
        <w:spacing w:after="60"/>
      </w:pPr>
      <w:r>
        <w:rPr>
          <w:color w:val="1B2A3A"/>
          <w:sz w:val="21"/>
        </w:rPr>
        <w:t>11. Questions they will ask you — and your answers</w:t>
      </w:r>
    </w:p>
    <w:p>
      <w:pPr>
        <w:spacing w:after="60"/>
      </w:pPr>
      <w:r>
        <w:rPr>
          <w:color w:val="1B2A3A"/>
          <w:sz w:val="21"/>
        </w:rPr>
        <w:t>12. What to prepare and bring (checklist)</w:t>
      </w:r>
    </w:p>
    <w:p>
      <w:pPr>
        <w:spacing w:after="60"/>
      </w:pPr>
      <w:r>
        <w:rPr>
          <w:color w:val="1B2A3A"/>
          <w:sz w:val="21"/>
        </w:rPr>
        <w:t>13. Logistics, language and cultural notes</w:t>
      </w:r>
    </w:p>
    <w:p>
      <w:pPr>
        <w:spacing w:after="60"/>
      </w:pPr>
      <w:r>
        <w:rPr>
          <w:color w:val="1B2A3A"/>
          <w:sz w:val="21"/>
        </w:rPr>
        <w:t>14. Follow-up plan (the 30 days after)</w:t>
      </w:r>
    </w:p>
    <w:p>
      <w:pPr>
        <w:spacing w:after="60"/>
      </w:pPr>
      <w:r>
        <w:rPr>
          <w:color w:val="1B2A3A"/>
          <w:sz w:val="21"/>
        </w:rPr>
        <w:t>Appendix A — One-page collaboration concept note (draft)</w:t>
      </w:r>
    </w:p>
    <w:p>
      <w:pPr>
        <w:spacing w:after="60"/>
      </w:pPr>
      <w:r>
        <w:rPr>
          <w:color w:val="1B2A3A"/>
          <w:sz w:val="21"/>
        </w:rPr>
        <w:t>Appendix B — Draft post-doc research outline</w:t>
      </w:r>
    </w:p>
    <w:p>
      <w:pPr>
        <w:spacing w:after="60"/>
      </w:pPr>
      <w:r>
        <w:rPr>
          <w:color w:val="1B2A3A"/>
          <w:sz w:val="21"/>
        </w:rPr>
        <w:t>Appendix C — Elevator pitch &amp; key talking points</w:t>
      </w:r>
    </w:p>
    <w:p>
      <w:pPr>
        <w:spacing w:after="60"/>
      </w:pPr>
      <w:r>
        <w:rPr>
          <w:color w:val="1B2A3A"/>
          <w:sz w:val="21"/>
        </w:rPr>
        <w:t>Appendix D — Sources &amp; useful links</w:t>
      </w:r>
    </w:p>
    <w:p>
      <w:r>
        <w:br w:type="page"/>
      </w:r>
    </w:p>
    <w:p>
      <w:pPr>
        <w:pStyle w:val="Heading1"/>
      </w:pPr>
      <w:r>
        <w:t>1. Executive summary — the mission in one page</w:t>
      </w:r>
    </w:p>
    <w:p>
      <w:pPr>
        <w:pBdr>
          <w:bottom w:val="single" w:sz="6" w:space="1" w:color="2E7D32"/>
        </w:pBdr>
        <w:spacing w:after="40"/>
      </w:pPr>
    </w:p>
    <w:p>
      <w:r>
        <w:rPr>
          <w:b w:val="0"/>
          <w:i w:val="0"/>
        </w:rPr>
        <w:t>You are travelling to the DBFZ in Leipzig — Germany’s national biomass research centre (200+ staff, ~120 scientific projects/year) — for two days of meetings, a facility tour, and hands-on data-integration discussions. Your strategic goal is to convert an existing affinity into a formal collaboration and, from it, a funded 8–12 month post-doctoral internship at DBFZ in 2027.</w:t>
      </w:r>
    </w:p>
    <w:tbl>
      <w:tblPr>
        <w:tblStyle w:val="TableGrid"/>
        <w:tblW w:type="auto" w:w="0"/>
        <w:tblLook w:firstColumn="1" w:firstRow="1" w:lastColumn="0" w:lastRow="0" w:noHBand="0" w:noVBand="1" w:val="04A0"/>
      </w:tblPr>
      <w:tblGrid>
        <w:gridCol w:w="8640"/>
      </w:tblGrid>
      <w:tr>
        <w:tc>
          <w:tcPr>
            <w:tcW w:type="dxa" w:w="8640"/>
            <w:shd w:val="clear" w:fill="EAF3EC"/>
          </w:tcPr>
          <w:p>
            <w:r/>
            <w:r>
              <w:rPr>
                <w:b/>
                <w:color w:val="2E7D32"/>
                <w:sz w:val="21"/>
              </w:rPr>
              <w:t>Why this fit is unusually strong</w:t>
            </w:r>
          </w:p>
          <w:p>
            <w:pPr>
              <w:spacing w:before="40"/>
            </w:pPr>
            <w:r>
              <w:rPr>
                <w:sz w:val="20"/>
              </w:rPr>
              <w:t>• Dr. Friederike Naegeli de Torres leads the DBFZ Working Group “Resources” — a geographer and GIS / remote-sensing specialist whose guiding question is literally: “Where can we find how much of which kind of biomass, how much is mobilisable, and what are the utilisation paths?” That is precisely what PILAR-2b answers for São Paulo.</w:t>
            </w:r>
          </w:p>
          <w:p>
            <w:pPr>
              <w:spacing w:before="40"/>
            </w:pPr>
            <w:r>
              <w:rPr>
                <w:sz w:val="20"/>
              </w:rPr>
              <w:t>• DBFZ’s flagship public tool — the Resource Database (resDB) on the DBFZ DataLab — is the German national analogue of PILAR-2b. Your own README already cites it as a UX inspiration. You arrive as a peer, not a petitioner.</w:t>
            </w:r>
          </w:p>
          <w:p>
            <w:pPr>
              <w:spacing w:before="40"/>
            </w:pPr>
            <w:r>
              <w:rPr>
                <w:sz w:val="20"/>
              </w:rPr>
              <w:t>• She has direct Brazil research experience (Atlantic Forest carbon, INTECRAL pasture-rehabilitation project, Rio de Janeiro) and DBFZ has a standing Brazil network (EMBRAPA, GIZ, Rio Grande do Sul universities, sugarcane/vinasse residues). You extend that network into São Paulo.</w:t>
            </w:r>
          </w:p>
        </w:tc>
      </w:tr>
    </w:tbl>
    <w:p>
      <w:pPr>
        <w:spacing w:after="40"/>
      </w:pPr>
    </w:p>
    <w:p>
      <w:pPr>
        <w:spacing w:after="40" w:before="160"/>
      </w:pPr>
      <w:r>
        <w:rPr>
          <w:b/>
          <w:i w:val="0"/>
          <w:color w:val="1B2A3A"/>
          <w:sz w:val="22"/>
        </w:rPr>
        <w:t>The three things to land in two days</w:t>
      </w:r>
    </w:p>
    <w:p>
      <w:pPr>
        <w:pStyle w:val="ListNumber"/>
      </w:pPr>
      <w:r>
        <w:rPr>
          <w:b/>
        </w:rPr>
        <w:t xml:space="preserve">Rapport &amp; credibility. </w:t>
      </w:r>
      <w:r>
        <w:t>Establish personal and methodological rapport — show that PILAR-2b and the DBFZ resDB are two implementations of the same idea (theoretical → mobilisable biomass potential), and that your FDE correction-factor method is a contribution, not a duplication.</w:t>
      </w:r>
    </w:p>
    <w:p>
      <w:pPr>
        <w:pStyle w:val="ListNumber"/>
      </w:pPr>
      <w:r>
        <w:rPr>
          <w:b/>
        </w:rPr>
        <w:t xml:space="preserve">A first joint deliverable. </w:t>
      </w:r>
      <w:r>
        <w:t>Agree on one or two concrete, low-friction first collaborations (a co-authored method paper, a joint conference session, an API/data interoperability pilot) that can start before any post-doc.</w:t>
      </w:r>
    </w:p>
    <w:p>
      <w:pPr>
        <w:pStyle w:val="ListNumber"/>
      </w:pPr>
      <w:r>
        <w:rPr>
          <w:b/>
        </w:rPr>
        <w:t xml:space="preserve">A path to the post-doc. </w:t>
      </w:r>
      <w:r>
        <w:t>Secure a named host and an in-principle agreement to support a 2027 post-doc, plus clarity on the funding route (FAPESP BEPE, CAPES-Humboldt, DAAD, or DFG/BMBF bilateral).</w:t>
      </w:r>
    </w:p>
    <w:p>
      <w:pPr>
        <w:spacing w:before="120"/>
      </w:pPr>
      <w:r>
        <w:rPr>
          <w:b w:val="0"/>
          <w:i/>
          <w:color w:val="555F6B"/>
        </w:rPr>
        <w:t>Treat the post-doc as the natural consequence of a collaboration you start now — not as the opening request. Lead with mutual scientific value; the internship follows.</w:t>
      </w:r>
    </w:p>
    <w:p>
      <w:r>
        <w:br w:type="page"/>
      </w:r>
    </w:p>
    <w:p>
      <w:pPr>
        <w:pStyle w:val="Heading1"/>
      </w:pPr>
      <w:r>
        <w:t>2. Your objectives and how to frame them (the “ask”)</w:t>
      </w:r>
    </w:p>
    <w:p>
      <w:pPr>
        <w:pBdr>
          <w:bottom w:val="single" w:sz="6" w:space="1" w:color="2E7D32"/>
        </w:pBdr>
        <w:spacing w:after="40"/>
      </w:pPr>
    </w:p>
    <w:p>
      <w:pPr>
        <w:pStyle w:val="Heading2"/>
      </w:pPr>
      <w:r>
        <w:t>2.1 Your layered objectives</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fill="EAF3EC"/>
          </w:tcPr>
          <w:p>
            <w:r/>
            <w:r>
              <w:rPr>
                <w:rFonts w:ascii="Calibri" w:hAnsi="Calibri"/>
                <w:b/>
                <w:color w:val="1B2A3A"/>
                <w:sz w:val="19"/>
              </w:rPr>
              <w:t>Horizon</w:t>
            </w:r>
          </w:p>
        </w:tc>
        <w:tc>
          <w:tcPr>
            <w:tcW w:type="dxa" w:w="3888"/>
            <w:shd w:val="clear" w:fill="EAF3EC"/>
          </w:tcPr>
          <w:p>
            <w:r/>
            <w:r>
              <w:rPr>
                <w:rFonts w:ascii="Calibri" w:hAnsi="Calibri"/>
                <w:b/>
                <w:color w:val="1B2A3A"/>
                <w:sz w:val="19"/>
              </w:rPr>
              <w:t>Objective</w:t>
            </w:r>
          </w:p>
        </w:tc>
        <w:tc>
          <w:tcPr>
            <w:tcW w:type="dxa" w:w="3744"/>
            <w:shd w:val="clear" w:fill="EAF3EC"/>
          </w:tcPr>
          <w:p>
            <w:r/>
            <w:r>
              <w:rPr>
                <w:rFonts w:ascii="Calibri" w:hAnsi="Calibri"/>
                <w:b/>
                <w:color w:val="1B2A3A"/>
                <w:sz w:val="19"/>
              </w:rPr>
              <w:t>What “success” looks like by end of visit</w:t>
            </w:r>
          </w:p>
        </w:tc>
      </w:tr>
      <w:tr>
        <w:tc>
          <w:tcPr>
            <w:tcW w:type="dxa" w:w="1728"/>
          </w:tcPr>
          <w:p>
            <w:r/>
            <w:r>
              <w:rPr>
                <w:rFonts w:ascii="Calibri" w:hAnsi="Calibri"/>
                <w:b w:val="0"/>
                <w:sz w:val="19"/>
              </w:rPr>
              <w:t>Immediate</w:t>
              <w:br/>
              <w:t>(these 2 days)</w:t>
            </w:r>
          </w:p>
        </w:tc>
        <w:tc>
          <w:tcPr>
            <w:tcW w:type="dxa" w:w="3888"/>
          </w:tcPr>
          <w:p>
            <w:r/>
            <w:r>
              <w:rPr>
                <w:rFonts w:ascii="Calibri" w:hAnsi="Calibri"/>
                <w:b w:val="0"/>
                <w:sz w:val="19"/>
              </w:rPr>
              <w:t>Build rapport; demo PILAR-2b; map mutual interests; identify a first joint activity.</w:t>
            </w:r>
          </w:p>
        </w:tc>
        <w:tc>
          <w:tcPr>
            <w:tcW w:type="dxa" w:w="3744"/>
          </w:tcPr>
          <w:p>
            <w:r/>
            <w:r>
              <w:rPr>
                <w:rFonts w:ascii="Calibri" w:hAnsi="Calibri"/>
                <w:b w:val="0"/>
                <w:sz w:val="19"/>
              </w:rPr>
              <w:t>A named DBFZ contact who is enthusiastic, plus one agreed next step in writing (even an email).</w:t>
            </w:r>
          </w:p>
        </w:tc>
      </w:tr>
      <w:tr>
        <w:tc>
          <w:tcPr>
            <w:tcW w:type="dxa" w:w="1728"/>
            <w:shd w:val="clear" w:fill="F4F8F5"/>
          </w:tcPr>
          <w:p>
            <w:r/>
            <w:r>
              <w:rPr>
                <w:rFonts w:ascii="Calibri" w:hAnsi="Calibri"/>
                <w:b w:val="0"/>
                <w:sz w:val="19"/>
              </w:rPr>
              <w:t>Short term</w:t>
              <w:br/>
              <w:t>(2026)</w:t>
            </w:r>
          </w:p>
        </w:tc>
        <w:tc>
          <w:tcPr>
            <w:tcW w:type="dxa" w:w="3888"/>
            <w:shd w:val="clear" w:fill="F4F8F5"/>
          </w:tcPr>
          <w:p>
            <w:r/>
            <w:r>
              <w:rPr>
                <w:rFonts w:ascii="Calibri" w:hAnsi="Calibri"/>
                <w:b w:val="0"/>
                <w:sz w:val="19"/>
              </w:rPr>
              <w:t>One tangible collaboration: co-authored methods note, joint conference session (FOSS4G Europe 2026), or data-interoperability pilot.</w:t>
            </w:r>
          </w:p>
        </w:tc>
        <w:tc>
          <w:tcPr>
            <w:tcW w:type="dxa" w:w="3744"/>
            <w:shd w:val="clear" w:fill="F4F8F5"/>
          </w:tcPr>
          <w:p>
            <w:r/>
            <w:r>
              <w:rPr>
                <w:rFonts w:ascii="Calibri" w:hAnsi="Calibri"/>
                <w:b w:val="0"/>
                <w:sz w:val="19"/>
              </w:rPr>
              <w:t>A draft outline / shared doc and a target venue or deadline.</w:t>
            </w:r>
          </w:p>
        </w:tc>
      </w:tr>
      <w:tr>
        <w:tc>
          <w:tcPr>
            <w:tcW w:type="dxa" w:w="1728"/>
          </w:tcPr>
          <w:p>
            <w:r/>
            <w:r>
              <w:rPr>
                <w:rFonts w:ascii="Calibri" w:hAnsi="Calibri"/>
                <w:b w:val="0"/>
                <w:sz w:val="19"/>
              </w:rPr>
              <w:t>Medium term</w:t>
              <w:br/>
              <w:t>(2027)</w:t>
            </w:r>
          </w:p>
        </w:tc>
        <w:tc>
          <w:tcPr>
            <w:tcW w:type="dxa" w:w="3888"/>
          </w:tcPr>
          <w:p>
            <w:r/>
            <w:r>
              <w:rPr>
                <w:rFonts w:ascii="Calibri" w:hAnsi="Calibri"/>
                <w:b w:val="0"/>
                <w:sz w:val="19"/>
              </w:rPr>
              <w:t>Funded 8–12 month post-doctoral internship hosted by WG Resources / Bioenergy Systems Dept.</w:t>
            </w:r>
          </w:p>
        </w:tc>
        <w:tc>
          <w:tcPr>
            <w:tcW w:type="dxa" w:w="3744"/>
          </w:tcPr>
          <w:p>
            <w:r/>
            <w:r>
              <w:rPr>
                <w:rFonts w:ascii="Calibri" w:hAnsi="Calibri"/>
                <w:b w:val="0"/>
                <w:sz w:val="19"/>
              </w:rPr>
              <w:t>An in-principle yes from a host + an identified funding instrument + a timeline.</w:t>
            </w:r>
          </w:p>
        </w:tc>
      </w:tr>
      <w:tr>
        <w:tc>
          <w:tcPr>
            <w:tcW w:type="dxa" w:w="1728"/>
            <w:shd w:val="clear" w:fill="F4F8F5"/>
          </w:tcPr>
          <w:p>
            <w:r/>
            <w:r>
              <w:rPr>
                <w:rFonts w:ascii="Calibri" w:hAnsi="Calibri"/>
                <w:b w:val="0"/>
                <w:sz w:val="19"/>
              </w:rPr>
              <w:t>Long term</w:t>
            </w:r>
          </w:p>
        </w:tc>
        <w:tc>
          <w:tcPr>
            <w:tcW w:type="dxa" w:w="3888"/>
            <w:shd w:val="clear" w:fill="F4F8F5"/>
          </w:tcPr>
          <w:p>
            <w:r/>
            <w:r>
              <w:rPr>
                <w:rFonts w:ascii="Calibri" w:hAnsi="Calibri"/>
                <w:b w:val="0"/>
                <w:sz w:val="19"/>
              </w:rPr>
              <w:t>Standing UNICAMP–DBFZ research bridge; PILAR-2b as the São Paulo / Brazil node of a resDB-style monitoring network.</w:t>
            </w:r>
          </w:p>
        </w:tc>
        <w:tc>
          <w:tcPr>
            <w:tcW w:type="dxa" w:w="3744"/>
            <w:shd w:val="clear" w:fill="F4F8F5"/>
          </w:tcPr>
          <w:p>
            <w:r/>
            <w:r>
              <w:rPr>
                <w:rFonts w:ascii="Calibri" w:hAnsi="Calibri"/>
                <w:b w:val="0"/>
                <w:sz w:val="19"/>
              </w:rPr>
              <w:t>Shared roadmap and intent to pursue a joint bilateral grant.</w:t>
            </w:r>
          </w:p>
        </w:tc>
      </w:tr>
    </w:tbl>
    <w:p>
      <w:pPr>
        <w:pStyle w:val="Heading2"/>
      </w:pPr>
      <w:r>
        <w:t>2.2 Your value proposition — what you bring to DBFZ</w:t>
      </w:r>
    </w:p>
    <w:p>
      <w:r>
        <w:rPr>
          <w:b w:val="0"/>
          <w:i w:val="0"/>
        </w:rPr>
        <w:t>Be explicit about this. You are not asking for charity; you bring assets DBFZ values and a geography they want to reach.</w:t>
      </w:r>
    </w:p>
    <w:p>
      <w:pPr>
        <w:pStyle w:val="ListBullet"/>
      </w:pPr>
      <w:r>
        <w:rPr>
          <w:b/>
        </w:rPr>
        <w:t xml:space="preserve">A working platform — </w:t>
      </w:r>
      <w:r>
        <w:t>a production-grade, open-source geospatial platform (PILAR-2b) already live and INPI-registered, covering 645 municipalities of São Paulo;</w:t>
      </w:r>
    </w:p>
    <w:p>
      <w:pPr>
        <w:pStyle w:val="ListBullet"/>
      </w:pPr>
      <w:r>
        <w:rPr>
          <w:b/>
        </w:rPr>
        <w:t xml:space="preserve">A novel method — </w:t>
      </w:r>
      <w:r>
        <w:t>a feedstock-dependent efficiency (FDE) correction-factor methodology that decomposes theoretical potential into mobilisable potential — a methodological contribution that complements the DBFZ potential cascade;</w:t>
      </w:r>
    </w:p>
    <w:p>
      <w:pPr>
        <w:pStyle w:val="ListBullet"/>
      </w:pPr>
      <w:r>
        <w:rPr>
          <w:b/>
        </w:rPr>
        <w:t xml:space="preserve">Build capability — </w:t>
      </w:r>
      <w:r>
        <w:t>hands-on full-stack engineering (FastAPI + PostGIS, Next.js/React-Leaflet, APIs, Sankey/IO economic modelling) — i.e. you can actually build and integrate, not only theorise;</w:t>
      </w:r>
    </w:p>
    <w:p>
      <w:pPr>
        <w:pStyle w:val="ListBullet"/>
      </w:pPr>
      <w:r>
        <w:rPr>
          <w:b/>
        </w:rPr>
        <w:t xml:space="preserve">Data &amp; context — </w:t>
      </w:r>
      <w:r>
        <w:t>access to curated Brazilian datasets (IBGE, MapBiomas, ANP/ANEEL, agricultural and livestock residues) and the São Paulo bioenergy context;</w:t>
      </w:r>
    </w:p>
    <w:p>
      <w:pPr>
        <w:pStyle w:val="ListBullet"/>
      </w:pPr>
      <w:r>
        <w:rPr>
          <w:b/>
        </w:rPr>
        <w:t xml:space="preserve">SDSS &amp; policy framing — </w:t>
      </w:r>
      <w:r>
        <w:t>knowledge of spatial decision-support systems (SDSS) and public-policy application — the ‘so-what’ layer that turns potential maps into investment and policy decisions.</w:t>
      </w:r>
    </w:p>
    <w:tbl>
      <w:tblPr>
        <w:tblStyle w:val="TableGrid"/>
        <w:tblW w:type="auto" w:w="0"/>
        <w:tblLook w:firstColumn="1" w:firstRow="1" w:lastColumn="0" w:lastRow="0" w:noHBand="0" w:noVBand="1" w:val="04A0"/>
      </w:tblPr>
      <w:tblGrid>
        <w:gridCol w:w="8640"/>
      </w:tblGrid>
      <w:tr>
        <w:tc>
          <w:tcPr>
            <w:tcW w:type="dxa" w:w="8640"/>
            <w:shd w:val="clear" w:fill="FFF4E5"/>
          </w:tcPr>
          <w:p>
            <w:r/>
            <w:r>
              <w:rPr>
                <w:b/>
                <w:color w:val="B06A00"/>
                <w:sz w:val="21"/>
              </w:rPr>
              <w:t>Framing tip — the one sentence to rehearse</w:t>
            </w:r>
          </w:p>
          <w:p>
            <w:pPr>
              <w:spacing w:before="40"/>
            </w:pPr>
            <w:r>
              <w:rPr>
                <w:sz w:val="20"/>
              </w:rPr>
              <w:t>“PILAR-2b does for São Paulo’s residues what the DBFZ Resource Database does for Germany — and the FDE method I built to get from theoretical to mobilisable potential is exactly the kind of harmonisation a Brazil–Germany comparison needs. I’d like to explore doing that together.”</w:t>
            </w:r>
          </w:p>
        </w:tc>
      </w:tr>
    </w:tbl>
    <w:p>
      <w:pPr>
        <w:spacing w:after="40"/>
      </w:pPr>
    </w:p>
    <w:p>
      <w:r>
        <w:br w:type="page"/>
      </w:r>
    </w:p>
    <w:p>
      <w:pPr>
        <w:pStyle w:val="Heading1"/>
      </w:pPr>
      <w:r>
        <w:t>3. Who you are meeting — DBFZ, the department, and Dr. Naegeli de Torres</w:t>
      </w:r>
    </w:p>
    <w:p>
      <w:pPr>
        <w:pBdr>
          <w:bottom w:val="single" w:sz="6" w:space="1" w:color="2E7D32"/>
        </w:pBdr>
        <w:spacing w:after="40"/>
      </w:pPr>
    </w:p>
    <w:p>
      <w:pPr>
        <w:pStyle w:val="Heading2"/>
      </w:pPr>
      <w:r>
        <w:t>3.1 The institution — DBFZ at a glance</w:t>
      </w:r>
    </w:p>
    <w:tbl>
      <w:tblPr>
        <w:tblStyle w:val="TableGrid"/>
        <w:tblW w:type="auto" w:w="0"/>
        <w:jc w:val="center"/>
        <w:tblLook w:firstColumn="1" w:firstRow="1" w:lastColumn="0" w:lastRow="0" w:noHBand="0" w:noVBand="1" w:val="04A0"/>
      </w:tblPr>
      <w:tblGrid>
        <w:gridCol w:w="4320"/>
        <w:gridCol w:w="4320"/>
      </w:tblGrid>
      <w:tr>
        <w:tc>
          <w:tcPr>
            <w:tcW w:type="dxa" w:w="2448"/>
            <w:shd w:val="clear" w:fill="EAF3EC"/>
          </w:tcPr>
          <w:p>
            <w:r/>
            <w:r>
              <w:rPr>
                <w:rFonts w:ascii="Calibri" w:hAnsi="Calibri"/>
                <w:b/>
                <w:color w:val="1B2A3A"/>
                <w:sz w:val="19"/>
              </w:rPr>
              <w:t>Attribute</w:t>
            </w:r>
          </w:p>
        </w:tc>
        <w:tc>
          <w:tcPr>
            <w:tcW w:type="dxa" w:w="6912"/>
            <w:shd w:val="clear" w:fill="EAF3EC"/>
          </w:tcPr>
          <w:p>
            <w:r/>
            <w:r>
              <w:rPr>
                <w:rFonts w:ascii="Calibri" w:hAnsi="Calibri"/>
                <w:b/>
                <w:color w:val="1B2A3A"/>
                <w:sz w:val="19"/>
              </w:rPr>
              <w:t>Detail</w:t>
            </w:r>
          </w:p>
        </w:tc>
      </w:tr>
      <w:tr>
        <w:tc>
          <w:tcPr>
            <w:tcW w:type="dxa" w:w="2448"/>
          </w:tcPr>
          <w:p>
            <w:r/>
            <w:r>
              <w:rPr>
                <w:rFonts w:ascii="Calibri" w:hAnsi="Calibri"/>
                <w:b w:val="0"/>
                <w:sz w:val="19"/>
              </w:rPr>
              <w:t>Full name</w:t>
            </w:r>
          </w:p>
        </w:tc>
        <w:tc>
          <w:tcPr>
            <w:tcW w:type="dxa" w:w="6912"/>
          </w:tcPr>
          <w:p>
            <w:r/>
            <w:r>
              <w:rPr>
                <w:rFonts w:ascii="Calibri" w:hAnsi="Calibri"/>
                <w:b w:val="0"/>
                <w:sz w:val="19"/>
              </w:rPr>
              <w:t>Deutsches Biomasseforschungszentrum gemeinnützige GmbH (German Biomass Research Centre)</w:t>
            </w:r>
          </w:p>
        </w:tc>
      </w:tr>
      <w:tr>
        <w:tc>
          <w:tcPr>
            <w:tcW w:type="dxa" w:w="2448"/>
            <w:shd w:val="clear" w:fill="F4F8F5"/>
          </w:tcPr>
          <w:p>
            <w:r/>
            <w:r>
              <w:rPr>
                <w:rFonts w:ascii="Calibri" w:hAnsi="Calibri"/>
                <w:b w:val="0"/>
                <w:sz w:val="19"/>
              </w:rPr>
              <w:t>Location</w:t>
            </w:r>
          </w:p>
        </w:tc>
        <w:tc>
          <w:tcPr>
            <w:tcW w:type="dxa" w:w="6912"/>
            <w:shd w:val="clear" w:fill="F4F8F5"/>
          </w:tcPr>
          <w:p>
            <w:r/>
            <w:r>
              <w:rPr>
                <w:rFonts w:ascii="Calibri" w:hAnsi="Calibri"/>
                <w:b w:val="0"/>
                <w:sz w:val="19"/>
              </w:rPr>
              <w:t>Leipzig, Saxony, Germany (HQ at Torgauer Straße 116)</w:t>
            </w:r>
          </w:p>
        </w:tc>
      </w:tr>
      <w:tr>
        <w:tc>
          <w:tcPr>
            <w:tcW w:type="dxa" w:w="2448"/>
          </w:tcPr>
          <w:p>
            <w:r/>
            <w:r>
              <w:rPr>
                <w:rFonts w:ascii="Calibri" w:hAnsi="Calibri"/>
                <w:b w:val="0"/>
                <w:sz w:val="19"/>
              </w:rPr>
              <w:t>Scale</w:t>
            </w:r>
          </w:p>
        </w:tc>
        <w:tc>
          <w:tcPr>
            <w:tcW w:type="dxa" w:w="6912"/>
          </w:tcPr>
          <w:p>
            <w:r/>
            <w:r>
              <w:rPr>
                <w:rFonts w:ascii="Calibri" w:hAnsi="Calibri"/>
                <w:b w:val="0"/>
                <w:sz w:val="19"/>
              </w:rPr>
              <w:t>200+ employees; ~120 scientific bioenergy projects per year</w:t>
            </w:r>
          </w:p>
        </w:tc>
      </w:tr>
      <w:tr>
        <w:tc>
          <w:tcPr>
            <w:tcW w:type="dxa" w:w="2448"/>
            <w:shd w:val="clear" w:fill="F4F8F5"/>
          </w:tcPr>
          <w:p>
            <w:r/>
            <w:r>
              <w:rPr>
                <w:rFonts w:ascii="Calibri" w:hAnsi="Calibri"/>
                <w:b w:val="0"/>
                <w:sz w:val="19"/>
              </w:rPr>
              <w:t>Mandate</w:t>
            </w:r>
          </w:p>
        </w:tc>
        <w:tc>
          <w:tcPr>
            <w:tcW w:type="dxa" w:w="6912"/>
            <w:shd w:val="clear" w:fill="F4F8F5"/>
          </w:tcPr>
          <w:p>
            <w:r/>
            <w:r>
              <w:rPr>
                <w:rFonts w:ascii="Calibri" w:hAnsi="Calibri"/>
                <w:b w:val="0"/>
                <w:sz w:val="19"/>
              </w:rPr>
              <w:t>Technical, economic and ecological questions of biomass as an energy and material resource; advises the German federal government</w:t>
            </w:r>
          </w:p>
        </w:tc>
      </w:tr>
      <w:tr>
        <w:tc>
          <w:tcPr>
            <w:tcW w:type="dxa" w:w="2448"/>
          </w:tcPr>
          <w:p>
            <w:r/>
            <w:r>
              <w:rPr>
                <w:rFonts w:ascii="Calibri" w:hAnsi="Calibri"/>
                <w:b w:val="0"/>
                <w:sz w:val="19"/>
              </w:rPr>
              <w:t>Core infrastructure</w:t>
            </w:r>
          </w:p>
        </w:tc>
        <w:tc>
          <w:tcPr>
            <w:tcW w:type="dxa" w:w="6912"/>
          </w:tcPr>
          <w:p>
            <w:r/>
            <w:r>
              <w:rPr>
                <w:rFonts w:ascii="Calibri" w:hAnsi="Calibri"/>
                <w:b w:val="0"/>
                <w:sz w:val="19"/>
              </w:rPr>
              <w:t>Labs for biochemical conversion, thermo-chemical conversion, biorefineries; a Data Laboratory (DataLab) for data science / IT methods</w:t>
            </w:r>
          </w:p>
        </w:tc>
      </w:tr>
      <w:tr>
        <w:tc>
          <w:tcPr>
            <w:tcW w:type="dxa" w:w="2448"/>
            <w:shd w:val="clear" w:fill="F4F8F5"/>
          </w:tcPr>
          <w:p>
            <w:r/>
            <w:r>
              <w:rPr>
                <w:rFonts w:ascii="Calibri" w:hAnsi="Calibri"/>
                <w:b w:val="0"/>
                <w:sz w:val="19"/>
              </w:rPr>
              <w:t>Public flagship tool</w:t>
            </w:r>
          </w:p>
        </w:tc>
        <w:tc>
          <w:tcPr>
            <w:tcW w:type="dxa" w:w="6912"/>
            <w:shd w:val="clear" w:fill="F4F8F5"/>
          </w:tcPr>
          <w:p>
            <w:r/>
            <w:r>
              <w:rPr>
                <w:rFonts w:ascii="Calibri" w:hAnsi="Calibri"/>
                <w:b w:val="0"/>
                <w:sz w:val="19"/>
              </w:rPr>
              <w:t>DBFZ Resource Database (resDB) — national biomass monitoring, open web app + API</w:t>
            </w:r>
          </w:p>
        </w:tc>
      </w:tr>
      <w:tr>
        <w:tc>
          <w:tcPr>
            <w:tcW w:type="dxa" w:w="2448"/>
          </w:tcPr>
          <w:p>
            <w:r/>
            <w:r>
              <w:rPr>
                <w:rFonts w:ascii="Calibri" w:hAnsi="Calibri"/>
                <w:b w:val="0"/>
                <w:sz w:val="19"/>
              </w:rPr>
              <w:t>Relevant department</w:t>
            </w:r>
          </w:p>
        </w:tc>
        <w:tc>
          <w:tcPr>
            <w:tcW w:type="dxa" w:w="6912"/>
          </w:tcPr>
          <w:p>
            <w:r/>
            <w:r>
              <w:rPr>
                <w:rFonts w:ascii="Calibri" w:hAnsi="Calibri"/>
                <w:b w:val="0"/>
                <w:sz w:val="19"/>
              </w:rPr>
              <w:t>Bioenergy Systems Department — supply scenarios, system analysis, modelling of competing uses, biomass potential analysis</w:t>
            </w:r>
          </w:p>
        </w:tc>
      </w:tr>
    </w:tbl>
    <w:p>
      <w:pPr>
        <w:pStyle w:val="Heading2"/>
      </w:pPr>
      <w:r>
        <w:t>3.2 The department &amp; working group you are targeting</w:t>
      </w:r>
    </w:p>
    <w:p>
      <w:r>
        <w:rPr>
          <w:b/>
          <w:i w:val="0"/>
        </w:rPr>
        <w:t>Bioenergy Systems Department</w:t>
      </w:r>
      <w:r>
        <w:rPr>
          <w:b w:val="0"/>
          <w:i w:val="0"/>
        </w:rPr>
        <w:t xml:space="preserve"> — develops supply scenarios and utilisation strategies for bioenergy, models potential competing uses, and runs system analysis of demand-oriented bioenergy provision. This is the analytical, data- and model-heavy side of DBFZ — your natural home.</w:t>
      </w:r>
    </w:p>
    <w:p>
      <w:r>
        <w:rPr>
          <w:b/>
          <w:i w:val="0"/>
          <w:color w:val="2E7D32"/>
        </w:rPr>
        <w:t>Working Group “Resources”</w:t>
      </w:r>
      <w:r>
        <w:rPr>
          <w:b w:val="0"/>
          <w:i w:val="0"/>
        </w:rPr>
        <w:t xml:space="preserve"> (led by Dr. Naegeli de Torres since 2023) — answers the resource-mapping question: where the biomass is, how much is mobilisable, and which utilisation paths exist. It is the group behind the spatial / potential-atlas side of the Resource Database. This is the single best-matched team for your profile.</w:t>
      </w:r>
    </w:p>
    <w:p>
      <w:pPr>
        <w:pStyle w:val="Heading2"/>
      </w:pPr>
      <w:r>
        <w:t>3.3 Dr. Friederike Naegeli de Torres — your key counterpart</w:t>
      </w:r>
    </w:p>
    <w:tbl>
      <w:tblPr>
        <w:tblStyle w:val="TableGrid"/>
        <w:tblW w:type="auto" w:w="0"/>
        <w:jc w:val="center"/>
        <w:tblLook w:firstColumn="1" w:firstRow="1" w:lastColumn="0" w:lastRow="0" w:noHBand="0" w:noVBand="1" w:val="04A0"/>
      </w:tblPr>
      <w:tblGrid>
        <w:gridCol w:w="4320"/>
        <w:gridCol w:w="4320"/>
      </w:tblGrid>
      <w:tr>
        <w:tc>
          <w:tcPr>
            <w:tcW w:type="dxa" w:w="2160"/>
            <w:shd w:val="clear" w:fill="EAF3EC"/>
          </w:tcPr>
          <w:p>
            <w:r/>
            <w:r>
              <w:rPr>
                <w:rFonts w:ascii="Calibri" w:hAnsi="Calibri"/>
                <w:b/>
                <w:color w:val="1B2A3A"/>
                <w:sz w:val="19"/>
              </w:rPr>
            </w:r>
          </w:p>
        </w:tc>
        <w:tc>
          <w:tcPr>
            <w:tcW w:type="dxa" w:w="7200"/>
            <w:shd w:val="clear" w:fill="EAF3EC"/>
          </w:tcPr>
          <w:p>
            <w:r/>
            <w:r>
              <w:rPr>
                <w:rFonts w:ascii="Calibri" w:hAnsi="Calibri"/>
                <w:b/>
                <w:color w:val="1B2A3A"/>
                <w:sz w:val="19"/>
              </w:rPr>
            </w:r>
          </w:p>
        </w:tc>
      </w:tr>
      <w:tr>
        <w:tc>
          <w:tcPr>
            <w:tcW w:type="dxa" w:w="2160"/>
          </w:tcPr>
          <w:p>
            <w:r/>
            <w:r>
              <w:rPr>
                <w:rFonts w:ascii="Calibri" w:hAnsi="Calibri"/>
                <w:b w:val="0"/>
                <w:sz w:val="19"/>
              </w:rPr>
              <w:t>Role</w:t>
            </w:r>
          </w:p>
        </w:tc>
        <w:tc>
          <w:tcPr>
            <w:tcW w:type="dxa" w:w="7200"/>
          </w:tcPr>
          <w:p>
            <w:r/>
            <w:r>
              <w:rPr>
                <w:rFonts w:ascii="Calibri" w:hAnsi="Calibri"/>
                <w:b w:val="0"/>
                <w:sz w:val="19"/>
              </w:rPr>
              <w:t>Head of the Working Group “Resources”, DBFZ (since 2023); researcher &amp; GIS expert at DBFZ since 2020</w:t>
            </w:r>
          </w:p>
        </w:tc>
      </w:tr>
      <w:tr>
        <w:tc>
          <w:tcPr>
            <w:tcW w:type="dxa" w:w="2160"/>
            <w:shd w:val="clear" w:fill="F4F8F5"/>
          </w:tcPr>
          <w:p>
            <w:r/>
            <w:r>
              <w:rPr>
                <w:rFonts w:ascii="Calibri" w:hAnsi="Calibri"/>
                <w:b w:val="0"/>
                <w:sz w:val="19"/>
              </w:rPr>
              <w:t>Background</w:t>
            </w:r>
          </w:p>
        </w:tc>
        <w:tc>
          <w:tcPr>
            <w:tcW w:type="dxa" w:w="7200"/>
            <w:shd w:val="clear" w:fill="F4F8F5"/>
          </w:tcPr>
          <w:p>
            <w:r/>
            <w:r>
              <w:rPr>
                <w:rFonts w:ascii="Calibri" w:hAnsi="Calibri"/>
                <w:b w:val="0"/>
                <w:sz w:val="19"/>
              </w:rPr>
              <w:t>Geographer; MSc in Technology &amp; Resource Management in the Tropics and Subtropics; PhD in Remote Sensing &amp; Geoinformatics</w:t>
            </w:r>
          </w:p>
        </w:tc>
      </w:tr>
      <w:tr>
        <w:tc>
          <w:tcPr>
            <w:tcW w:type="dxa" w:w="2160"/>
          </w:tcPr>
          <w:p>
            <w:r/>
            <w:r>
              <w:rPr>
                <w:rFonts w:ascii="Calibri" w:hAnsi="Calibri"/>
                <w:b w:val="0"/>
                <w:sz w:val="19"/>
              </w:rPr>
              <w:t>Core question</w:t>
            </w:r>
          </w:p>
        </w:tc>
        <w:tc>
          <w:tcPr>
            <w:tcW w:type="dxa" w:w="7200"/>
          </w:tcPr>
          <w:p>
            <w:r/>
            <w:r>
              <w:rPr>
                <w:rFonts w:ascii="Calibri" w:hAnsi="Calibri"/>
                <w:b w:val="0"/>
                <w:sz w:val="19"/>
              </w:rPr>
              <w:t>“Where can we find how much of which kind of biomass? How much is mobilisable, and what are the utilisation paths?”</w:t>
            </w:r>
          </w:p>
        </w:tc>
      </w:tr>
      <w:tr>
        <w:tc>
          <w:tcPr>
            <w:tcW w:type="dxa" w:w="2160"/>
            <w:shd w:val="clear" w:fill="F4F8F5"/>
          </w:tcPr>
          <w:p>
            <w:r/>
            <w:r>
              <w:rPr>
                <w:rFonts w:ascii="Calibri" w:hAnsi="Calibri"/>
                <w:b w:val="0"/>
                <w:sz w:val="19"/>
              </w:rPr>
              <w:t>International work</w:t>
            </w:r>
          </w:p>
        </w:tc>
        <w:tc>
          <w:tcPr>
            <w:tcW w:type="dxa" w:w="7200"/>
            <w:shd w:val="clear" w:fill="F4F8F5"/>
          </w:tcPr>
          <w:p>
            <w:r/>
            <w:r>
              <w:rPr>
                <w:rFonts w:ascii="Calibri" w:hAnsi="Calibri"/>
                <w:b w:val="0"/>
                <w:sz w:val="19"/>
              </w:rPr>
              <w:t>Brazil, Colombia, Togo, Ethiopia — strong tropical/subtropical and Global-South focus</w:t>
            </w:r>
          </w:p>
        </w:tc>
      </w:tr>
      <w:tr>
        <w:tc>
          <w:tcPr>
            <w:tcW w:type="dxa" w:w="2160"/>
          </w:tcPr>
          <w:p>
            <w:r/>
            <w:r>
              <w:rPr>
                <w:rFonts w:ascii="Calibri" w:hAnsi="Calibri"/>
                <w:b w:val="0"/>
                <w:sz w:val="19"/>
              </w:rPr>
              <w:t>Brazil research</w:t>
            </w:r>
          </w:p>
        </w:tc>
        <w:tc>
          <w:tcPr>
            <w:tcW w:type="dxa" w:w="7200"/>
          </w:tcPr>
          <w:p>
            <w:r/>
            <w:r>
              <w:rPr>
                <w:rFonts w:ascii="Calibri" w:hAnsi="Calibri"/>
                <w:b w:val="0"/>
                <w:sz w:val="19"/>
              </w:rPr>
              <w:t>Carbon-storage capacity of a fragmented Atlantic-Forest landscape (Rio de Janeiro); pasture rehabilitation within the Brazilian–German INTECRAL project; pastures as climate-mitigation opportunity areas</w:t>
            </w:r>
          </w:p>
        </w:tc>
      </w:tr>
      <w:tr>
        <w:tc>
          <w:tcPr>
            <w:tcW w:type="dxa" w:w="2160"/>
            <w:shd w:val="clear" w:fill="F4F8F5"/>
          </w:tcPr>
          <w:p>
            <w:r/>
            <w:r>
              <w:rPr>
                <w:rFonts w:ascii="Calibri" w:hAnsi="Calibri"/>
                <w:b w:val="0"/>
                <w:sz w:val="19"/>
              </w:rPr>
              <w:t>Contact</w:t>
            </w:r>
          </w:p>
        </w:tc>
        <w:tc>
          <w:tcPr>
            <w:tcW w:type="dxa" w:w="7200"/>
            <w:shd w:val="clear" w:fill="F4F8F5"/>
          </w:tcPr>
          <w:p>
            <w:r/>
            <w:r>
              <w:rPr>
                <w:rFonts w:ascii="Calibri" w:hAnsi="Calibri"/>
                <w:b w:val="0"/>
                <w:sz w:val="19"/>
              </w:rPr>
              <w:t>+49 (0)341 2434-620 · DBFZ staff directory (Personalverzeichnis)</w:t>
            </w:r>
          </w:p>
        </w:tc>
      </w:tr>
    </w:tbl>
    <w:tbl>
      <w:tblPr>
        <w:tblStyle w:val="TableGrid"/>
        <w:tblW w:type="auto" w:w="0"/>
        <w:tblLook w:firstColumn="1" w:firstRow="1" w:lastColumn="0" w:lastRow="0" w:noHBand="0" w:noVBand="1" w:val="04A0"/>
      </w:tblPr>
      <w:tblGrid>
        <w:gridCol w:w="8640"/>
      </w:tblGrid>
      <w:tr>
        <w:tc>
          <w:tcPr>
            <w:tcW w:type="dxa" w:w="8640"/>
            <w:shd w:val="clear" w:fill="EAF3EC"/>
          </w:tcPr>
          <w:p>
            <w:r/>
            <w:r>
              <w:rPr>
                <w:b/>
                <w:color w:val="2E7D32"/>
                <w:sz w:val="21"/>
              </w:rPr>
              <w:t>Personal-rapport angles (use sparingly, sincerely)</w:t>
            </w:r>
          </w:p>
          <w:p>
            <w:pPr>
              <w:spacing w:before="40"/>
            </w:pPr>
            <w:r>
              <w:rPr>
                <w:sz w:val="20"/>
              </w:rPr>
              <w:t>• Shared methodological DNA — GIS + remote sensing applied to biomass/land resources. Speak her language: spatial potential assessment, mobilisable fraction, utilisation paths.</w:t>
            </w:r>
          </w:p>
          <w:p>
            <w:pPr>
              <w:spacing w:before="40"/>
            </w:pPr>
            <w:r>
              <w:rPr>
                <w:sz w:val="20"/>
              </w:rPr>
              <w:t>• Genuine Brazil connection — she has done fieldwork in Brazil and works on tropics/subtropics; the surname “de Torres” and INTECRAL suggest comfort with the Brazilian research context. A few words in Portuguese or on the Atlantic Forest will land well.</w:t>
            </w:r>
          </w:p>
          <w:p>
            <w:pPr>
              <w:spacing w:before="40"/>
            </w:pPr>
            <w:r>
              <w:rPr>
                <w:sz w:val="20"/>
              </w:rPr>
              <w:t>• Land-use &amp; carbon — her pasture/carbon work connects to your land-use (MapBiomas) layer and to the sustainability framing of residue mobilisation.</w:t>
            </w:r>
          </w:p>
        </w:tc>
      </w:tr>
    </w:tbl>
    <w:p>
      <w:pPr>
        <w:spacing w:after="40"/>
      </w:pPr>
    </w:p>
    <w:p>
      <w:r>
        <w:br w:type="page"/>
      </w:r>
    </w:p>
    <w:p>
      <w:pPr>
        <w:pStyle w:val="Heading1"/>
      </w:pPr>
      <w:r>
        <w:t>4. DBFZ expertise &amp; developments you must know</w:t>
      </w:r>
    </w:p>
    <w:p>
      <w:pPr>
        <w:pBdr>
          <w:bottom w:val="single" w:sz="6" w:space="1" w:color="2E7D32"/>
        </w:pBdr>
        <w:spacing w:after="40"/>
      </w:pPr>
    </w:p>
    <w:p>
      <w:r>
        <w:rPr>
          <w:b w:val="0"/>
          <w:i w:val="0"/>
        </w:rPr>
        <w:t>Know these well enough to reference them by name. They are the hooks your proposals hang on.</w:t>
      </w:r>
    </w:p>
    <w:p>
      <w:pPr>
        <w:pStyle w:val="Heading2"/>
      </w:pPr>
      <w:r>
        <w:t>4.1 The DBFZ Resource Database (resDB) — your anchor reference</w:t>
      </w:r>
    </w:p>
    <w:p>
      <w:pPr>
        <w:pStyle w:val="ListBullet"/>
      </w:pPr>
      <w:r>
        <w:t>Germany’s national biomass monitoring, open to the public as a free web application on the DBFZ DataLab (datalab.dbfz.de/resdb).</w:t>
      </w:r>
    </w:p>
    <w:p>
      <w:pPr>
        <w:pStyle w:val="ListBullet"/>
      </w:pPr>
      <w:r>
        <w:t>Covers ~77 biomass types across agriculture &amp; forestry, municipal waste &amp; sewage sludge, and industrial residues — with time series (2010–2020).</w:t>
      </w:r>
    </w:p>
    <w:p>
      <w:pPr>
        <w:pStyle w:val="ListBullet"/>
      </w:pPr>
      <w:r>
        <w:t>Includes a biomass potential atlas tracing individual biomasses across the EU, plus documented calculation methodology and data basis per material.</w:t>
      </w:r>
    </w:p>
    <w:p>
      <w:pPr>
        <w:pStyle w:val="ListBullet"/>
      </w:pPr>
      <w:r>
        <w:t>Exposes an API for integration into third-party applications — directly relevant to a PILAR-2b ↔ resDB interoperability pilot.</w:t>
      </w:r>
    </w:p>
    <w:p>
      <w:pPr>
        <w:pStyle w:val="ListBullet"/>
      </w:pPr>
      <w:r>
        <w:t>Reports theoretical, technical and mobilisable potentials — the same cascade logic as your FDE method.</w:t>
      </w:r>
    </w:p>
    <w:p>
      <w:pPr>
        <w:pStyle w:val="Heading2"/>
      </w:pPr>
      <w:r>
        <w:t>4.2 Biomass potential methodology — the shared backbone</w:t>
      </w:r>
    </w:p>
    <w:p>
      <w:r>
        <w:rPr>
          <w:b w:val="0"/>
          <w:i w:val="0"/>
        </w:rPr>
        <w:t>DBFZ formalises the potential cascade and develops indicators of efficiency and sustainability (economic, ecological, technical). They also work on cascading use — ensuring material use is not blocked by energy use. Your FDE method (collection efficiency, competing uses, seasonal availability, logistics) is a transparent, factor-explicit way to perform exactly the theoretical→mobilisable step. Position FDE as harmonisable with — not competing against — their cascade.</w:t>
      </w:r>
    </w:p>
    <w:tbl>
      <w:tblPr>
        <w:tblStyle w:val="TableGrid"/>
        <w:tblW w:type="auto" w:w="0"/>
        <w:jc w:val="center"/>
        <w:tblLook w:firstColumn="1" w:firstRow="1" w:lastColumn="0" w:lastRow="0" w:noHBand="0" w:noVBand="1" w:val="04A0"/>
      </w:tblPr>
      <w:tblGrid>
        <w:gridCol w:w="4320"/>
        <w:gridCol w:w="4320"/>
      </w:tblGrid>
      <w:tr>
        <w:tc>
          <w:tcPr>
            <w:tcW w:type="dxa" w:w="4320"/>
            <w:shd w:val="clear" w:fill="EAF3EC"/>
          </w:tcPr>
          <w:p>
            <w:r/>
            <w:r>
              <w:rPr>
                <w:rFonts w:ascii="Calibri" w:hAnsi="Calibri"/>
                <w:b/>
                <w:color w:val="1B2A3A"/>
                <w:sz w:val="19"/>
              </w:rPr>
              <w:t>DBFZ potential cascade</w:t>
            </w:r>
          </w:p>
        </w:tc>
        <w:tc>
          <w:tcPr>
            <w:tcW w:type="dxa" w:w="5040"/>
            <w:shd w:val="clear" w:fill="EAF3EC"/>
          </w:tcPr>
          <w:p>
            <w:r/>
            <w:r>
              <w:rPr>
                <w:rFonts w:ascii="Calibri" w:hAnsi="Calibri"/>
                <w:b/>
                <w:color w:val="1B2A3A"/>
                <w:sz w:val="19"/>
              </w:rPr>
              <w:t>PILAR-2b / FDE equivalent</w:t>
            </w:r>
          </w:p>
        </w:tc>
      </w:tr>
      <w:tr>
        <w:tc>
          <w:tcPr>
            <w:tcW w:type="dxa" w:w="4320"/>
          </w:tcPr>
          <w:p>
            <w:r/>
            <w:r>
              <w:rPr>
                <w:rFonts w:ascii="Calibri" w:hAnsi="Calibri"/>
                <w:b w:val="0"/>
                <w:sz w:val="19"/>
              </w:rPr>
              <w:t>Theoretical potential</w:t>
            </w:r>
          </w:p>
        </w:tc>
        <w:tc>
          <w:tcPr>
            <w:tcW w:type="dxa" w:w="5040"/>
          </w:tcPr>
          <w:p>
            <w:r/>
            <w:r>
              <w:rPr>
                <w:rFonts w:ascii="Calibri" w:hAnsi="Calibri"/>
                <w:b w:val="0"/>
                <w:sz w:val="19"/>
              </w:rPr>
              <w:t>Theoretical biomass potential (gross residue mass × BMP/VS/TS parameters)</w:t>
            </w:r>
          </w:p>
        </w:tc>
      </w:tr>
      <w:tr>
        <w:tc>
          <w:tcPr>
            <w:tcW w:type="dxa" w:w="4320"/>
            <w:shd w:val="clear" w:fill="F4F8F5"/>
          </w:tcPr>
          <w:p>
            <w:r/>
            <w:r>
              <w:rPr>
                <w:rFonts w:ascii="Calibri" w:hAnsi="Calibri"/>
                <w:b w:val="0"/>
                <w:sz w:val="19"/>
              </w:rPr>
              <w:t>Technical potential</w:t>
            </w:r>
          </w:p>
        </w:tc>
        <w:tc>
          <w:tcPr>
            <w:tcW w:type="dxa" w:w="5040"/>
            <w:shd w:val="clear" w:fill="F4F8F5"/>
          </w:tcPr>
          <w:p>
            <w:r/>
            <w:r>
              <w:rPr>
                <w:rFonts w:ascii="Calibri" w:hAnsi="Calibri"/>
                <w:b w:val="0"/>
                <w:sz w:val="19"/>
              </w:rPr>
              <w:t>Collection-efficiency &amp; logistical-constraint factors of the FDE</w:t>
            </w:r>
          </w:p>
        </w:tc>
      </w:tr>
      <w:tr>
        <w:tc>
          <w:tcPr>
            <w:tcW w:type="dxa" w:w="4320"/>
          </w:tcPr>
          <w:p>
            <w:r/>
            <w:r>
              <w:rPr>
                <w:rFonts w:ascii="Calibri" w:hAnsi="Calibri"/>
                <w:b w:val="0"/>
                <w:sz w:val="19"/>
              </w:rPr>
              <w:t>Mobilisable / sustainable potential</w:t>
            </w:r>
          </w:p>
        </w:tc>
        <w:tc>
          <w:tcPr>
            <w:tcW w:type="dxa" w:w="5040"/>
          </w:tcPr>
          <w:p>
            <w:r/>
            <w:r>
              <w:rPr>
                <w:rFonts w:ascii="Calibri" w:hAnsi="Calibri"/>
                <w:b w:val="0"/>
                <w:sz w:val="19"/>
              </w:rPr>
              <w:t>Mobilisable potential after competing-uses &amp; seasonal-availability factors</w:t>
            </w:r>
          </w:p>
        </w:tc>
      </w:tr>
      <w:tr>
        <w:tc>
          <w:tcPr>
            <w:tcW w:type="dxa" w:w="4320"/>
            <w:shd w:val="clear" w:fill="F4F8F5"/>
          </w:tcPr>
          <w:p>
            <w:r/>
            <w:r>
              <w:rPr>
                <w:rFonts w:ascii="Calibri" w:hAnsi="Calibri"/>
                <w:b w:val="0"/>
                <w:sz w:val="19"/>
              </w:rPr>
              <w:t>Utilisation paths</w:t>
            </w:r>
          </w:p>
        </w:tc>
        <w:tc>
          <w:tcPr>
            <w:tcW w:type="dxa" w:w="5040"/>
            <w:shd w:val="clear" w:fill="F4F8F5"/>
          </w:tcPr>
          <w:p>
            <w:r/>
            <w:r>
              <w:rPr>
                <w:rFonts w:ascii="Calibri" w:hAnsi="Calibri"/>
                <w:b w:val="0"/>
                <w:sz w:val="19"/>
              </w:rPr>
              <w:t>Technology-routes comparison (10+ biogas conversion pathways) + co-digestion C:N optimisation</w:t>
            </w:r>
          </w:p>
        </w:tc>
      </w:tr>
      <w:tr>
        <w:tc>
          <w:tcPr>
            <w:tcW w:type="dxa" w:w="4320"/>
          </w:tcPr>
          <w:p>
            <w:r/>
            <w:r>
              <w:rPr>
                <w:rFonts w:ascii="Calibri" w:hAnsi="Calibri"/>
                <w:b w:val="0"/>
                <w:sz w:val="19"/>
              </w:rPr>
              <w:t>Regional value / system analysis</w:t>
            </w:r>
          </w:p>
        </w:tc>
        <w:tc>
          <w:tcPr>
            <w:tcW w:type="dxa" w:w="5040"/>
          </w:tcPr>
          <w:p>
            <w:r/>
            <w:r>
              <w:rPr>
                <w:rFonts w:ascii="Calibri" w:hAnsi="Calibri"/>
                <w:b w:val="0"/>
                <w:sz w:val="19"/>
              </w:rPr>
              <w:t>IBGE 67-sector Leontief input-output model + payback/viability calculator</w:t>
            </w:r>
          </w:p>
        </w:tc>
      </w:tr>
    </w:tbl>
    <w:p>
      <w:pPr>
        <w:pStyle w:val="Heading2"/>
      </w:pPr>
      <w:r>
        <w:t>4.3 DBFZ international &amp; Brazil activities — you fit an existing strategy</w:t>
      </w:r>
    </w:p>
    <w:p>
      <w:pPr>
        <w:pStyle w:val="ListBullet"/>
      </w:pPr>
      <w:r>
        <w:t>DBFZ runs cooperation networks across Latin America — especially Brazil, Chile and Mexico.</w:t>
      </w:r>
    </w:p>
    <w:p>
      <w:pPr>
        <w:pStyle w:val="ListBullet"/>
      </w:pPr>
      <w:r>
        <w:t>In Brazil: a research &amp; consultancy network with Rio Grande do Sul universities, EMBRAPA Suínos e Aves (Concórdia) and other EMBRAPA units, and GIZ Brazil — focused on biogas from agricultural residues and manure.</w:t>
      </w:r>
    </w:p>
    <w:p>
      <w:pPr>
        <w:pStyle w:val="ListBullet"/>
      </w:pPr>
      <w:r>
        <w:t>Long-standing interest in sugarcane/ethanol residues (vinasse), manioc, manure and municipal waste — all squarely within São Paulo’s residue profile and PILAR-2b’s scope.</w:t>
      </w:r>
    </w:p>
    <w:p>
      <w:pPr>
        <w:pStyle w:val="ListBullet"/>
      </w:pPr>
      <w:r>
        <w:t>Stated aim to support pilot plants and to grow the university network through continuous exchange of scientists and PhD students — i.e. they explicitly want people like you.</w:t>
      </w:r>
    </w:p>
    <w:tbl>
      <w:tblPr>
        <w:tblStyle w:val="TableGrid"/>
        <w:tblW w:type="auto" w:w="0"/>
        <w:tblLook w:firstColumn="1" w:firstRow="1" w:lastColumn="0" w:lastRow="0" w:noHBand="0" w:noVBand="1" w:val="04A0"/>
      </w:tblPr>
      <w:tblGrid>
        <w:gridCol w:w="8640"/>
      </w:tblGrid>
      <w:tr>
        <w:tc>
          <w:tcPr>
            <w:tcW w:type="dxa" w:w="8640"/>
            <w:shd w:val="clear" w:fill="EAF3EC"/>
          </w:tcPr>
          <w:p>
            <w:r/>
            <w:r>
              <w:rPr>
                <w:b/>
                <w:color w:val="2E7D32"/>
                <w:sz w:val="21"/>
              </w:rPr>
              <w:t>Strategic read</w:t>
            </w:r>
          </w:p>
          <w:p>
            <w:pPr>
              <w:spacing w:before="40"/>
            </w:pPr>
            <w:r>
              <w:rPr>
                <w:sz w:val="20"/>
              </w:rPr>
              <w:t>DBFZ’s existing Brazil footprint is concentrated in the South (Rio Grande do Sul) and around sugarcane. PILAR-2b extends that footprint to São Paulo — the largest sugarcane/bioenergy state — with a ready-made open platform. You are a geographic and technological extension of a strategy they already fund.</w:t>
            </w:r>
          </w:p>
        </w:tc>
      </w:tr>
    </w:tbl>
    <w:p>
      <w:pPr>
        <w:spacing w:after="40"/>
      </w:pPr>
    </w:p>
    <w:p>
      <w:r>
        <w:br w:type="page"/>
      </w:r>
    </w:p>
    <w:p>
      <w:pPr>
        <w:pStyle w:val="Heading1"/>
      </w:pPr>
      <w:r>
        <w:t>5. The bridge — PILAR-2b mapped onto DBFZ’s work</w:t>
      </w:r>
    </w:p>
    <w:p>
      <w:pPr>
        <w:pBdr>
          <w:bottom w:val="single" w:sz="6" w:space="1" w:color="2E7D32"/>
        </w:pBdr>
        <w:spacing w:after="40"/>
      </w:pPr>
    </w:p>
    <w:p>
      <w:r>
        <w:rPr>
          <w:b w:val="0"/>
          <w:i w:val="0"/>
        </w:rPr>
        <w:t>This table is the heart of your pitch. Consider printing it as a one-pager and putting it on the table during the data-integration session.</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fill="EAF3EC"/>
          </w:tcPr>
          <w:p>
            <w:r/>
            <w:r>
              <w:rPr>
                <w:rFonts w:ascii="Calibri" w:hAnsi="Calibri"/>
                <w:b/>
                <w:color w:val="1B2A3A"/>
                <w:sz w:val="19"/>
              </w:rPr>
              <w:t>Dimension</w:t>
            </w:r>
          </w:p>
        </w:tc>
        <w:tc>
          <w:tcPr>
            <w:tcW w:type="dxa" w:w="3600"/>
            <w:shd w:val="clear" w:fill="EAF3EC"/>
          </w:tcPr>
          <w:p>
            <w:r/>
            <w:r>
              <w:rPr>
                <w:rFonts w:ascii="Calibri" w:hAnsi="Calibri"/>
                <w:b/>
                <w:color w:val="1B2A3A"/>
                <w:sz w:val="19"/>
              </w:rPr>
              <w:t>DBFZ (resDB / WG Resources)</w:t>
            </w:r>
          </w:p>
        </w:tc>
        <w:tc>
          <w:tcPr>
            <w:tcW w:type="dxa" w:w="3744"/>
            <w:shd w:val="clear" w:fill="EAF3EC"/>
          </w:tcPr>
          <w:p>
            <w:r/>
            <w:r>
              <w:rPr>
                <w:rFonts w:ascii="Calibri" w:hAnsi="Calibri"/>
                <w:b/>
                <w:color w:val="1B2A3A"/>
                <w:sz w:val="19"/>
              </w:rPr>
              <w:t>PILAR-2b (NIPE-UNICAMP / CP2B)</w:t>
            </w:r>
          </w:p>
        </w:tc>
      </w:tr>
      <w:tr>
        <w:tc>
          <w:tcPr>
            <w:tcW w:type="dxa" w:w="2016"/>
          </w:tcPr>
          <w:p>
            <w:r/>
            <w:r>
              <w:rPr>
                <w:rFonts w:ascii="Calibri" w:hAnsi="Calibri"/>
                <w:b w:val="0"/>
                <w:sz w:val="19"/>
              </w:rPr>
              <w:t>Geography</w:t>
            </w:r>
          </w:p>
        </w:tc>
        <w:tc>
          <w:tcPr>
            <w:tcW w:type="dxa" w:w="3600"/>
          </w:tcPr>
          <w:p>
            <w:r/>
            <w:r>
              <w:rPr>
                <w:rFonts w:ascii="Calibri" w:hAnsi="Calibri"/>
                <w:b w:val="0"/>
                <w:sz w:val="19"/>
              </w:rPr>
              <w:t>Germany &amp; EU</w:t>
            </w:r>
          </w:p>
        </w:tc>
        <w:tc>
          <w:tcPr>
            <w:tcW w:type="dxa" w:w="3744"/>
          </w:tcPr>
          <w:p>
            <w:r/>
            <w:r>
              <w:rPr>
                <w:rFonts w:ascii="Calibri" w:hAnsi="Calibri"/>
                <w:b w:val="0"/>
                <w:sz w:val="19"/>
              </w:rPr>
              <w:t>State of São Paulo (645 municipalities), Brazil</w:t>
            </w:r>
          </w:p>
        </w:tc>
      </w:tr>
      <w:tr>
        <w:tc>
          <w:tcPr>
            <w:tcW w:type="dxa" w:w="2016"/>
            <w:shd w:val="clear" w:fill="F4F8F5"/>
          </w:tcPr>
          <w:p>
            <w:r/>
            <w:r>
              <w:rPr>
                <w:rFonts w:ascii="Calibri" w:hAnsi="Calibri"/>
                <w:b w:val="0"/>
                <w:sz w:val="19"/>
              </w:rPr>
              <w:t>Core function</w:t>
            </w:r>
          </w:p>
        </w:tc>
        <w:tc>
          <w:tcPr>
            <w:tcW w:type="dxa" w:w="3600"/>
            <w:shd w:val="clear" w:fill="F4F8F5"/>
          </w:tcPr>
          <w:p>
            <w:r/>
            <w:r>
              <w:rPr>
                <w:rFonts w:ascii="Calibri" w:hAnsi="Calibri"/>
                <w:b w:val="0"/>
                <w:sz w:val="19"/>
              </w:rPr>
              <w:t>National biomass-potential monitoring &amp; atlas</w:t>
            </w:r>
          </w:p>
        </w:tc>
        <w:tc>
          <w:tcPr>
            <w:tcW w:type="dxa" w:w="3744"/>
            <w:shd w:val="clear" w:fill="F4F8F5"/>
          </w:tcPr>
          <w:p>
            <w:r/>
            <w:r>
              <w:rPr>
                <w:rFonts w:ascii="Calibri" w:hAnsi="Calibri"/>
                <w:b w:val="0"/>
                <w:sz w:val="19"/>
              </w:rPr>
              <w:t>Residue-to-biogas potential platform &amp; SDSS</w:t>
            </w:r>
          </w:p>
        </w:tc>
      </w:tr>
      <w:tr>
        <w:tc>
          <w:tcPr>
            <w:tcW w:type="dxa" w:w="2016"/>
          </w:tcPr>
          <w:p>
            <w:r/>
            <w:r>
              <w:rPr>
                <w:rFonts w:ascii="Calibri" w:hAnsi="Calibri"/>
                <w:b w:val="0"/>
                <w:sz w:val="19"/>
              </w:rPr>
              <w:t>Potential logic</w:t>
            </w:r>
          </w:p>
        </w:tc>
        <w:tc>
          <w:tcPr>
            <w:tcW w:type="dxa" w:w="3600"/>
          </w:tcPr>
          <w:p>
            <w:r/>
            <w:r>
              <w:rPr>
                <w:rFonts w:ascii="Calibri" w:hAnsi="Calibri"/>
                <w:b w:val="0"/>
                <w:sz w:val="19"/>
              </w:rPr>
              <w:t>Theoretical → technical → mobilisable</w:t>
            </w:r>
          </w:p>
        </w:tc>
        <w:tc>
          <w:tcPr>
            <w:tcW w:type="dxa" w:w="3744"/>
          </w:tcPr>
          <w:p>
            <w:r/>
            <w:r>
              <w:rPr>
                <w:rFonts w:ascii="Calibri" w:hAnsi="Calibri"/>
                <w:b w:val="0"/>
                <w:sz w:val="19"/>
              </w:rPr>
              <w:t>Theoretical → mobilisable via FDE correction factors</w:t>
            </w:r>
          </w:p>
        </w:tc>
      </w:tr>
      <w:tr>
        <w:tc>
          <w:tcPr>
            <w:tcW w:type="dxa" w:w="2016"/>
            <w:shd w:val="clear" w:fill="F4F8F5"/>
          </w:tcPr>
          <w:p>
            <w:r/>
            <w:r>
              <w:rPr>
                <w:rFonts w:ascii="Calibri" w:hAnsi="Calibri"/>
                <w:b w:val="0"/>
                <w:sz w:val="19"/>
              </w:rPr>
              <w:t>Open access</w:t>
            </w:r>
          </w:p>
        </w:tc>
        <w:tc>
          <w:tcPr>
            <w:tcW w:type="dxa" w:w="3600"/>
            <w:shd w:val="clear" w:fill="F4F8F5"/>
          </w:tcPr>
          <w:p>
            <w:r/>
            <w:r>
              <w:rPr>
                <w:rFonts w:ascii="Calibri" w:hAnsi="Calibri"/>
                <w:b w:val="0"/>
                <w:sz w:val="19"/>
              </w:rPr>
              <w:t>Free web app + API (DataLab)</w:t>
            </w:r>
          </w:p>
        </w:tc>
        <w:tc>
          <w:tcPr>
            <w:tcW w:type="dxa" w:w="3744"/>
            <w:shd w:val="clear" w:fill="F4F8F5"/>
          </w:tcPr>
          <w:p>
            <w:r/>
            <w:r>
              <w:rPr>
                <w:rFonts w:ascii="Calibri" w:hAnsi="Calibri"/>
                <w:b w:val="0"/>
                <w:sz w:val="19"/>
              </w:rPr>
              <w:t>Live bilingual web app; open-source (GPL-3.0); API</w:t>
            </w:r>
          </w:p>
        </w:tc>
      </w:tr>
      <w:tr>
        <w:tc>
          <w:tcPr>
            <w:tcW w:type="dxa" w:w="2016"/>
          </w:tcPr>
          <w:p>
            <w:r/>
            <w:r>
              <w:rPr>
                <w:rFonts w:ascii="Calibri" w:hAnsi="Calibri"/>
                <w:b w:val="0"/>
                <w:sz w:val="19"/>
              </w:rPr>
              <w:t>Data backbone</w:t>
            </w:r>
          </w:p>
        </w:tc>
        <w:tc>
          <w:tcPr>
            <w:tcW w:type="dxa" w:w="3600"/>
          </w:tcPr>
          <w:p>
            <w:r/>
            <w:r>
              <w:rPr>
                <w:rFonts w:ascii="Calibri" w:hAnsi="Calibri"/>
                <w:b w:val="0"/>
                <w:sz w:val="19"/>
              </w:rPr>
              <w:t>National statistics, residue surveys, time series</w:t>
            </w:r>
          </w:p>
        </w:tc>
        <w:tc>
          <w:tcPr>
            <w:tcW w:type="dxa" w:w="3744"/>
          </w:tcPr>
          <w:p>
            <w:r/>
            <w:r>
              <w:rPr>
                <w:rFonts w:ascii="Calibri" w:hAnsi="Calibri"/>
                <w:b w:val="0"/>
                <w:sz w:val="19"/>
              </w:rPr>
              <w:t>IBGE, MapBiomas, ANP/ANEEL, 50+ residue types (BMP/VS/TS)</w:t>
            </w:r>
          </w:p>
        </w:tc>
      </w:tr>
      <w:tr>
        <w:tc>
          <w:tcPr>
            <w:tcW w:type="dxa" w:w="2016"/>
            <w:shd w:val="clear" w:fill="F4F8F5"/>
          </w:tcPr>
          <w:p>
            <w:r/>
            <w:r>
              <w:rPr>
                <w:rFonts w:ascii="Calibri" w:hAnsi="Calibri"/>
                <w:b w:val="0"/>
                <w:sz w:val="19"/>
              </w:rPr>
              <w:t>Spatial stack</w:t>
            </w:r>
          </w:p>
        </w:tc>
        <w:tc>
          <w:tcPr>
            <w:tcW w:type="dxa" w:w="3600"/>
            <w:shd w:val="clear" w:fill="F4F8F5"/>
          </w:tcPr>
          <w:p>
            <w:r/>
            <w:r>
              <w:rPr>
                <w:rFonts w:ascii="Calibri" w:hAnsi="Calibri"/>
                <w:b w:val="0"/>
                <w:sz w:val="19"/>
              </w:rPr>
              <w:t>GIS / remote sensing / potential atlas</w:t>
            </w:r>
          </w:p>
        </w:tc>
        <w:tc>
          <w:tcPr>
            <w:tcW w:type="dxa" w:w="3744"/>
            <w:shd w:val="clear" w:fill="F4F8F5"/>
          </w:tcPr>
          <w:p>
            <w:r/>
            <w:r>
              <w:rPr>
                <w:rFonts w:ascii="Calibri" w:hAnsi="Calibri"/>
                <w:b w:val="0"/>
                <w:sz w:val="19"/>
              </w:rPr>
              <w:t>PostGIS, React-Leaflet, radius/proximity &amp; infrastructure overlay</w:t>
            </w:r>
          </w:p>
        </w:tc>
      </w:tr>
      <w:tr>
        <w:tc>
          <w:tcPr>
            <w:tcW w:type="dxa" w:w="2016"/>
          </w:tcPr>
          <w:p>
            <w:r/>
            <w:r>
              <w:rPr>
                <w:rFonts w:ascii="Calibri" w:hAnsi="Calibri"/>
                <w:b w:val="0"/>
                <w:sz w:val="19"/>
              </w:rPr>
              <w:t>Decision layer</w:t>
            </w:r>
          </w:p>
        </w:tc>
        <w:tc>
          <w:tcPr>
            <w:tcW w:type="dxa" w:w="3600"/>
          </w:tcPr>
          <w:p>
            <w:r/>
            <w:r>
              <w:rPr>
                <w:rFonts w:ascii="Calibri" w:hAnsi="Calibri"/>
                <w:b w:val="0"/>
                <w:sz w:val="19"/>
              </w:rPr>
              <w:t>Scenarios, system analysis, competing uses</w:t>
            </w:r>
          </w:p>
        </w:tc>
        <w:tc>
          <w:tcPr>
            <w:tcW w:type="dxa" w:w="3744"/>
          </w:tcPr>
          <w:p>
            <w:r/>
            <w:r>
              <w:rPr>
                <w:rFonts w:ascii="Calibri" w:hAnsi="Calibri"/>
                <w:b w:val="0"/>
                <w:sz w:val="19"/>
              </w:rPr>
              <w:t>Technology routes, co-digestion, Leontief IO, payback calculator</w:t>
            </w:r>
          </w:p>
        </w:tc>
      </w:tr>
      <w:tr>
        <w:tc>
          <w:tcPr>
            <w:tcW w:type="dxa" w:w="2016"/>
            <w:shd w:val="clear" w:fill="F4F8F5"/>
          </w:tcPr>
          <w:p>
            <w:r/>
            <w:r>
              <w:rPr>
                <w:rFonts w:ascii="Calibri" w:hAnsi="Calibri"/>
                <w:b w:val="0"/>
                <w:sz w:val="19"/>
              </w:rPr>
              <w:t>Maturity</w:t>
            </w:r>
          </w:p>
        </w:tc>
        <w:tc>
          <w:tcPr>
            <w:tcW w:type="dxa" w:w="3600"/>
            <w:shd w:val="clear" w:fill="F4F8F5"/>
          </w:tcPr>
          <w:p>
            <w:r/>
            <w:r>
              <w:rPr>
                <w:rFonts w:ascii="Calibri" w:hAnsi="Calibri"/>
                <w:b w:val="0"/>
                <w:sz w:val="19"/>
              </w:rPr>
              <w:t>Established national reference</w:t>
            </w:r>
          </w:p>
        </w:tc>
        <w:tc>
          <w:tcPr>
            <w:tcW w:type="dxa" w:w="3744"/>
            <w:shd w:val="clear" w:fill="F4F8F5"/>
          </w:tcPr>
          <w:p>
            <w:r/>
            <w:r>
              <w:rPr>
                <w:rFonts w:ascii="Calibri" w:hAnsi="Calibri"/>
                <w:b w:val="0"/>
                <w:sz w:val="19"/>
              </w:rPr>
              <w:t>Production, INPI-registered, FAPESP-funded, v3.0.3</w:t>
            </w:r>
          </w:p>
        </w:tc>
      </w:tr>
    </w:tbl>
    <w:tbl>
      <w:tblPr>
        <w:tblStyle w:val="TableGrid"/>
        <w:tblW w:type="auto" w:w="0"/>
        <w:tblLook w:firstColumn="1" w:firstRow="1" w:lastColumn="0" w:lastRow="0" w:noHBand="0" w:noVBand="1" w:val="04A0"/>
      </w:tblPr>
      <w:tblGrid>
        <w:gridCol w:w="8640"/>
      </w:tblGrid>
      <w:tr>
        <w:tc>
          <w:tcPr>
            <w:tcW w:type="dxa" w:w="8640"/>
            <w:shd w:val="clear" w:fill="EAF3EC"/>
          </w:tcPr>
          <w:p>
            <w:r/>
            <w:r>
              <w:rPr>
                <w:b/>
                <w:color w:val="2E7D32"/>
                <w:sz w:val="21"/>
              </w:rPr>
              <w:t>The headline message</w:t>
            </w:r>
          </w:p>
          <w:p>
            <w:pPr>
              <w:spacing w:before="40"/>
            </w:pPr>
            <w:r>
              <w:rPr>
                <w:sz w:val="20"/>
              </w:rPr>
              <w:t>Two independently built platforms, same scientific backbone, complementary geographies and methods. Together they enable a Germany–Brazil comparison of biomass potentials on harmonised definitions — a publishable, fundable, policy-relevant goal. PILAR-2b can become the South-America node of a resDB-style monitoring approach.</w:t>
            </w:r>
          </w:p>
        </w:tc>
      </w:tr>
    </w:tbl>
    <w:p>
      <w:pPr>
        <w:spacing w:after="40"/>
      </w:pPr>
    </w:p>
    <w:p>
      <w:r>
        <w:br w:type="page"/>
      </w:r>
    </w:p>
    <w:p>
      <w:pPr>
        <w:pStyle w:val="Heading1"/>
      </w:pPr>
      <w:r>
        <w:t>6. Collaboration menu — concrete proposals, ranked</w:t>
      </w:r>
    </w:p>
    <w:p>
      <w:pPr>
        <w:pBdr>
          <w:bottom w:val="single" w:sz="6" w:space="1" w:color="2E7D32"/>
        </w:pBdr>
        <w:spacing w:after="40"/>
      </w:pPr>
    </w:p>
    <w:p>
      <w:r>
        <w:rPr>
          <w:b w:val="0"/>
          <w:i w:val="0"/>
        </w:rPr>
        <w:t>Bring a short menu, not a single demand. Let them co-select; people support what they help choose. Ordered from lowest-friction (start now) to most ambitious.</w:t>
      </w:r>
    </w:p>
    <w:p>
      <w:pPr>
        <w:pStyle w:val="Heading2"/>
      </w:pPr>
      <w:r>
        <w:t>6.1 Quick wins (can start in 2026, no funding needed)</w:t>
      </w:r>
    </w:p>
    <w:p>
      <w:pPr>
        <w:pStyle w:val="ListNumber"/>
      </w:pPr>
      <w:r>
        <w:rPr>
          <w:b/>
        </w:rPr>
        <w:t xml:space="preserve">Joint methods note — </w:t>
      </w:r>
      <w:r>
        <w:t>a short, co-authored methods note comparing the DBFZ potential cascade with the FDE correction-factor approach, using a shared example feedstock (e.g. sugarcane/vinasse or cattle manure).</w:t>
      </w:r>
    </w:p>
    <w:p>
      <w:pPr>
        <w:pStyle w:val="ListNumber"/>
      </w:pPr>
      <w:r>
        <w:rPr>
          <w:b/>
        </w:rPr>
        <w:t xml:space="preserve">Joint conference session — </w:t>
      </w:r>
      <w:r>
        <w:t>co-present PILAR-2b ↔ resDB interoperability at FOSS4G Europe 2026 (already on your radar) or a bioenergy venue; a joint abstract is a low-cost, high-signal commitment.</w:t>
      </w:r>
    </w:p>
    <w:p>
      <w:pPr>
        <w:pStyle w:val="ListNumber"/>
      </w:pPr>
      <w:r>
        <w:rPr>
          <w:b/>
        </w:rPr>
        <w:t xml:space="preserve">API interoperability pilot — </w:t>
      </w:r>
      <w:r>
        <w:t>a technical pilot reading the resDB API into PILAR-2b (or vice-versa) to render a Germany vs São Paulo comparison view — proves interoperability and gives both sides a demo.</w:t>
      </w:r>
    </w:p>
    <w:p>
      <w:pPr>
        <w:pStyle w:val="Heading2"/>
      </w:pPr>
      <w:r>
        <w:t>6.2 Substantive collaborations (2026–2027)</w:t>
      </w:r>
    </w:p>
    <w:p>
      <w:pPr>
        <w:pStyle w:val="ListNumber"/>
      </w:pPr>
      <w:r>
        <w:rPr>
          <w:b/>
        </w:rPr>
        <w:t xml:space="preserve">Harmonised data model — </w:t>
      </w:r>
      <w:r>
        <w:t>define a harmonised data schema / ontology for residue types, parameters (BMP/VS/TS), and the potential cascade, so Brazilian and German figures are directly comparable.</w:t>
      </w:r>
    </w:p>
    <w:p>
      <w:pPr>
        <w:pStyle w:val="ListNumber"/>
      </w:pPr>
      <w:r>
        <w:rPr>
          <w:b/>
        </w:rPr>
        <w:t xml:space="preserve">Joint SDSS / MCDA module — </w:t>
      </w:r>
      <w:r>
        <w:t>co-develop the decision-support layer (MCDA — already on your roadmap) for biogas-plant siting, combining DBFZ’s system-analysis methods with your spatial proximity/infrastructure engine.</w:t>
      </w:r>
    </w:p>
    <w:p>
      <w:pPr>
        <w:pStyle w:val="ListNumber"/>
      </w:pPr>
      <w:r>
        <w:rPr>
          <w:b/>
        </w:rPr>
        <w:t xml:space="preserve">South-America node — </w:t>
      </w:r>
      <w:r>
        <w:t>PILAR-2b as a template other Latin-American regions can fork — supporting DBFZ’s Latin-America strategy with an open, replicable tool.</w:t>
      </w:r>
    </w:p>
    <w:p>
      <w:pPr>
        <w:pStyle w:val="Heading2"/>
      </w:pPr>
      <w:r>
        <w:t>6.3 Strategic / funded track (2027+)</w:t>
      </w:r>
    </w:p>
    <w:p>
      <w:pPr>
        <w:pStyle w:val="ListNumber"/>
      </w:pPr>
      <w:r>
        <w:rPr>
          <w:b/>
        </w:rPr>
        <w:t xml:space="preserve">The post-doctoral internship — </w:t>
      </w:r>
      <w:r>
        <w:t>the 8–12 month internship as the vehicle that delivers the above (see Section 7).</w:t>
      </w:r>
    </w:p>
    <w:p>
      <w:pPr>
        <w:pStyle w:val="ListNumber"/>
      </w:pPr>
      <w:r>
        <w:rPr>
          <w:b/>
        </w:rPr>
        <w:t xml:space="preserve">A joint bilateral proposal — </w:t>
      </w:r>
      <w:r>
        <w:t>a bilateral research grant (FAPESP–DFG, BMBF Client II, or similar) on harmonised biomass-potential monitoring &amp; decision support for Brazil and Germany.</w:t>
      </w:r>
    </w:p>
    <w:tbl>
      <w:tblPr>
        <w:tblStyle w:val="TableGrid"/>
        <w:tblW w:type="auto" w:w="0"/>
        <w:tblLook w:firstColumn="1" w:firstRow="1" w:lastColumn="0" w:lastRow="0" w:noHBand="0" w:noVBand="1" w:val="04A0"/>
      </w:tblPr>
      <w:tblGrid>
        <w:gridCol w:w="8640"/>
      </w:tblGrid>
      <w:tr>
        <w:tc>
          <w:tcPr>
            <w:tcW w:type="dxa" w:w="8640"/>
            <w:shd w:val="clear" w:fill="EAF3EC"/>
          </w:tcPr>
          <w:p>
            <w:r/>
            <w:r>
              <w:rPr>
                <w:b/>
                <w:color w:val="2E7D32"/>
                <w:sz w:val="21"/>
              </w:rPr>
              <w:t>How to close Section 6 in the room</w:t>
            </w:r>
          </w:p>
          <w:p>
            <w:pPr>
              <w:spacing w:before="40"/>
            </w:pPr>
            <w:r>
              <w:rPr>
                <w:sz w:val="20"/>
              </w:rPr>
              <w:t>Ask directly: “Of these, which one or two would you find most useful to start with — and who on your side would be the right person to shape it?” That single question converts interest into a named owner and a next step.</w:t>
            </w:r>
          </w:p>
        </w:tc>
      </w:tr>
    </w:tbl>
    <w:p>
      <w:pPr>
        <w:spacing w:after="40"/>
      </w:pPr>
    </w:p>
    <w:p>
      <w:r>
        <w:br w:type="page"/>
      </w:r>
    </w:p>
    <w:p>
      <w:pPr>
        <w:pStyle w:val="Heading1"/>
      </w:pPr>
      <w:r>
        <w:t>7. The post-doctoral internship — routes, funding, and a draft project</w:t>
      </w:r>
    </w:p>
    <w:p>
      <w:pPr>
        <w:pBdr>
          <w:bottom w:val="single" w:sz="6" w:space="1" w:color="2E7D32"/>
        </w:pBdr>
        <w:spacing w:after="40"/>
      </w:pPr>
    </w:p>
    <w:p>
      <w:pPr>
        <w:pStyle w:val="Heading2"/>
      </w:pPr>
      <w:r>
        <w:t>7.1 The shape of the ask</w:t>
      </w:r>
    </w:p>
    <w:p>
      <w:pPr>
        <w:pStyle w:val="ListBullet"/>
      </w:pPr>
      <w:r>
        <w:rPr>
          <w:b/>
        </w:rPr>
        <w:t xml:space="preserve">Duration &amp; timing — </w:t>
      </w:r>
      <w:r>
        <w:t>8–12 months, in 2027, hosted by WG Resources / Bioenergy Systems Department.</w:t>
      </w:r>
    </w:p>
    <w:p>
      <w:pPr>
        <w:pStyle w:val="ListBullet"/>
      </w:pPr>
      <w:r>
        <w:rPr>
          <w:b/>
        </w:rPr>
        <w:t xml:space="preserve">Model — </w:t>
      </w:r>
      <w:r>
        <w:t>you bring (or co-apply for) the funding; DBFZ provides supervision, desk, data access and integration into a live project. This lowers their cost and raises your odds.</w:t>
      </w:r>
    </w:p>
    <w:p>
      <w:pPr>
        <w:pStyle w:val="ListBullet"/>
      </w:pPr>
      <w:r>
        <w:rPr>
          <w:b/>
        </w:rPr>
        <w:t xml:space="preserve">Deliverable — </w:t>
      </w:r>
      <w:r>
        <w:t>a working integration between PILAR-2b and DBFZ methods/data + at least one joint paper — concrete, demonstrable outputs.</w:t>
      </w:r>
    </w:p>
    <w:p>
      <w:pPr>
        <w:pStyle w:val="Heading2"/>
      </w:pPr>
      <w:r>
        <w:t>7.2 Funding routes to research before the trip</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val="clear" w:fill="EAF3EC"/>
          </w:tcPr>
          <w:p>
            <w:r/>
            <w:r>
              <w:rPr>
                <w:rFonts w:ascii="Calibri" w:hAnsi="Calibri"/>
                <w:b/>
                <w:color w:val="1B2A3A"/>
                <w:sz w:val="19"/>
              </w:rPr>
              <w:t>Instrument</w:t>
            </w:r>
          </w:p>
        </w:tc>
        <w:tc>
          <w:tcPr>
            <w:tcW w:type="dxa" w:w="3888"/>
            <w:shd w:val="clear" w:fill="EAF3EC"/>
          </w:tcPr>
          <w:p>
            <w:r/>
            <w:r>
              <w:rPr>
                <w:rFonts w:ascii="Calibri" w:hAnsi="Calibri"/>
                <w:b/>
                <w:color w:val="1B2A3A"/>
                <w:sz w:val="19"/>
              </w:rPr>
              <w:t>Fit / notes</w:t>
            </w:r>
          </w:p>
        </w:tc>
        <w:tc>
          <w:tcPr>
            <w:tcW w:type="dxa" w:w="2736"/>
            <w:shd w:val="clear" w:fill="EAF3EC"/>
          </w:tcPr>
          <w:p>
            <w:r/>
            <w:r>
              <w:rPr>
                <w:rFonts w:ascii="Calibri" w:hAnsi="Calibri"/>
                <w:b/>
                <w:color w:val="1B2A3A"/>
                <w:sz w:val="19"/>
              </w:rPr>
              <w:t>Action</w:t>
            </w:r>
          </w:p>
        </w:tc>
      </w:tr>
      <w:tr>
        <w:tc>
          <w:tcPr>
            <w:tcW w:type="dxa" w:w="2736"/>
          </w:tcPr>
          <w:p>
            <w:r/>
            <w:r>
              <w:rPr>
                <w:rFonts w:ascii="Calibri" w:hAnsi="Calibri"/>
                <w:b w:val="0"/>
                <w:sz w:val="19"/>
              </w:rPr>
              <w:t>FAPESP BEPE (Bolsa Estágio de Pesquisa no Exterior)</w:t>
            </w:r>
          </w:p>
        </w:tc>
        <w:tc>
          <w:tcPr>
            <w:tcW w:type="dxa" w:w="3888"/>
          </w:tcPr>
          <w:p>
            <w:r/>
            <w:r>
              <w:rPr>
                <w:rFonts w:ascii="Calibri" w:hAnsi="Calibri"/>
                <w:b w:val="0"/>
                <w:sz w:val="19"/>
              </w:rPr>
              <w:t>Natural fit — you are FAPESP-funded (2024/01112-1). BEPE funds research internships abroad attached to your home project.</w:t>
            </w:r>
          </w:p>
        </w:tc>
        <w:tc>
          <w:tcPr>
            <w:tcW w:type="dxa" w:w="2736"/>
          </w:tcPr>
          <w:p>
            <w:r/>
            <w:r>
              <w:rPr>
                <w:rFonts w:ascii="Calibri" w:hAnsi="Calibri"/>
                <w:b w:val="0"/>
                <w:sz w:val="19"/>
              </w:rPr>
              <w:t>Confirm eligibility &amp; timing with your PI / FAPESP; align dates to 2027.</w:t>
            </w:r>
          </w:p>
        </w:tc>
      </w:tr>
      <w:tr>
        <w:tc>
          <w:tcPr>
            <w:tcW w:type="dxa" w:w="2736"/>
            <w:shd w:val="clear" w:fill="F4F8F5"/>
          </w:tcPr>
          <w:p>
            <w:r/>
            <w:r>
              <w:rPr>
                <w:rFonts w:ascii="Calibri" w:hAnsi="Calibri"/>
                <w:b w:val="0"/>
                <w:sz w:val="19"/>
              </w:rPr>
              <w:t>CAPES–Humboldt / Humboldt Fellowship</w:t>
            </w:r>
          </w:p>
        </w:tc>
        <w:tc>
          <w:tcPr>
            <w:tcW w:type="dxa" w:w="3888"/>
            <w:shd w:val="clear" w:fill="F4F8F5"/>
          </w:tcPr>
          <w:p>
            <w:r/>
            <w:r>
              <w:rPr>
                <w:rFonts w:ascii="Calibri" w:hAnsi="Calibri"/>
                <w:b w:val="0"/>
                <w:sz w:val="19"/>
              </w:rPr>
              <w:t>Prestigious post-doc fellowships for research stays in Germany.</w:t>
            </w:r>
          </w:p>
        </w:tc>
        <w:tc>
          <w:tcPr>
            <w:tcW w:type="dxa" w:w="2736"/>
            <w:shd w:val="clear" w:fill="F4F8F5"/>
          </w:tcPr>
          <w:p>
            <w:r/>
            <w:r>
              <w:rPr>
                <w:rFonts w:ascii="Calibri" w:hAnsi="Calibri"/>
                <w:b w:val="0"/>
                <w:sz w:val="19"/>
              </w:rPr>
              <w:t>Check eligibility window &amp; deadlines; needs host confirmation.</w:t>
            </w:r>
          </w:p>
        </w:tc>
      </w:tr>
      <w:tr>
        <w:tc>
          <w:tcPr>
            <w:tcW w:type="dxa" w:w="2736"/>
          </w:tcPr>
          <w:p>
            <w:r/>
            <w:r>
              <w:rPr>
                <w:rFonts w:ascii="Calibri" w:hAnsi="Calibri"/>
                <w:b w:val="0"/>
                <w:sz w:val="19"/>
              </w:rPr>
              <w:t>DAAD research grants</w:t>
            </w:r>
          </w:p>
        </w:tc>
        <w:tc>
          <w:tcPr>
            <w:tcW w:type="dxa" w:w="3888"/>
          </w:tcPr>
          <w:p>
            <w:r/>
            <w:r>
              <w:rPr>
                <w:rFonts w:ascii="Calibri" w:hAnsi="Calibri"/>
                <w:b w:val="0"/>
                <w:sz w:val="19"/>
              </w:rPr>
              <w:t>German agency; supports research stays of varying length for post-docs.</w:t>
            </w:r>
          </w:p>
        </w:tc>
        <w:tc>
          <w:tcPr>
            <w:tcW w:type="dxa" w:w="2736"/>
          </w:tcPr>
          <w:p>
            <w:r/>
            <w:r>
              <w:rPr>
                <w:rFonts w:ascii="Calibri" w:hAnsi="Calibri"/>
                <w:b w:val="0"/>
                <w:sz w:val="19"/>
              </w:rPr>
              <w:t>Identify the matching DAAD programme &amp; call dates.</w:t>
            </w:r>
          </w:p>
        </w:tc>
      </w:tr>
      <w:tr>
        <w:tc>
          <w:tcPr>
            <w:tcW w:type="dxa" w:w="2736"/>
            <w:shd w:val="clear" w:fill="F4F8F5"/>
          </w:tcPr>
          <w:p>
            <w:r/>
            <w:r>
              <w:rPr>
                <w:rFonts w:ascii="Calibri" w:hAnsi="Calibri"/>
                <w:b w:val="0"/>
                <w:sz w:val="19"/>
              </w:rPr>
              <w:t>DFG / BMBF bilateral (FAPESP–DFG, Client II)</w:t>
            </w:r>
          </w:p>
        </w:tc>
        <w:tc>
          <w:tcPr>
            <w:tcW w:type="dxa" w:w="3888"/>
            <w:shd w:val="clear" w:fill="F4F8F5"/>
          </w:tcPr>
          <w:p>
            <w:r/>
            <w:r>
              <w:rPr>
                <w:rFonts w:ascii="Calibri" w:hAnsi="Calibri"/>
                <w:b w:val="0"/>
                <w:sz w:val="19"/>
              </w:rPr>
              <w:t>Larger, project-level; would fund the broader collaboration, not just you.</w:t>
            </w:r>
          </w:p>
        </w:tc>
        <w:tc>
          <w:tcPr>
            <w:tcW w:type="dxa" w:w="2736"/>
            <w:shd w:val="clear" w:fill="F4F8F5"/>
          </w:tcPr>
          <w:p>
            <w:r/>
            <w:r>
              <w:rPr>
                <w:rFonts w:ascii="Calibri" w:hAnsi="Calibri"/>
                <w:b w:val="0"/>
                <w:sz w:val="19"/>
              </w:rPr>
              <w:t>Frame as a medium-term goal co-developed with DBFZ.</w:t>
            </w:r>
          </w:p>
        </w:tc>
      </w:tr>
      <w:tr>
        <w:tc>
          <w:tcPr>
            <w:tcW w:type="dxa" w:w="2736"/>
          </w:tcPr>
          <w:p>
            <w:r/>
            <w:r>
              <w:rPr>
                <w:rFonts w:ascii="Calibri" w:hAnsi="Calibri"/>
                <w:b w:val="0"/>
                <w:sz w:val="19"/>
              </w:rPr>
              <w:t>DBFZ / project-funded position</w:t>
            </w:r>
          </w:p>
        </w:tc>
        <w:tc>
          <w:tcPr>
            <w:tcW w:type="dxa" w:w="3888"/>
          </w:tcPr>
          <w:p>
            <w:r/>
            <w:r>
              <w:rPr>
                <w:rFonts w:ascii="Calibri" w:hAnsi="Calibri"/>
                <w:b w:val="0"/>
                <w:sz w:val="19"/>
              </w:rPr>
              <w:t>If they have a live project needing your skills, a hosted/funded slot may exist.</w:t>
            </w:r>
          </w:p>
        </w:tc>
        <w:tc>
          <w:tcPr>
            <w:tcW w:type="dxa" w:w="2736"/>
          </w:tcPr>
          <w:p>
            <w:r/>
            <w:r>
              <w:rPr>
                <w:rFonts w:ascii="Calibri" w:hAnsi="Calibri"/>
                <w:b w:val="0"/>
                <w:sz w:val="19"/>
              </w:rPr>
              <w:t>Ask whether any current project could absorb a visiting researcher.</w:t>
            </w:r>
          </w:p>
        </w:tc>
      </w:tr>
    </w:tbl>
    <w:p>
      <w:r>
        <w:rPr>
          <w:b w:val="0"/>
          <w:i/>
          <w:color w:val="555F6B"/>
        </w:rPr>
        <w:t>Before the trip, confirm with your PI and FAPESP which instrument is realistic and what host documents (invitation letter, supervision statement) you would need. Walking in knowing the funding mechanics signals seriousness.</w:t>
      </w:r>
    </w:p>
    <w:p>
      <w:pPr>
        <w:pStyle w:val="Heading2"/>
      </w:pPr>
      <w:r>
        <w:t>7.3 Draft research project (one paragraph to have ready)</w:t>
      </w:r>
    </w:p>
    <w:tbl>
      <w:tblPr>
        <w:tblStyle w:val="TableGrid"/>
        <w:tblW w:type="auto" w:w="0"/>
        <w:tblLook w:firstColumn="1" w:firstRow="1" w:lastColumn="0" w:lastRow="0" w:noHBand="0" w:noVBand="1" w:val="04A0"/>
      </w:tblPr>
      <w:tblGrid>
        <w:gridCol w:w="8640"/>
      </w:tblGrid>
      <w:tr>
        <w:tc>
          <w:tcPr>
            <w:tcW w:type="dxa" w:w="8640"/>
            <w:shd w:val="clear" w:fill="EAF3EC"/>
          </w:tcPr>
          <w:p>
            <w:r/>
            <w:r>
              <w:rPr>
                <w:b/>
                <w:color w:val="2E7D32"/>
                <w:sz w:val="21"/>
              </w:rPr>
              <w:t>Working title: “Harmonised, mobilisable biomass-potential assessment and spatial decision support — a Brazil–Germany comparison”</w:t>
            </w:r>
          </w:p>
          <w:p>
            <w:pPr>
              <w:spacing w:before="40"/>
            </w:pPr>
            <w:r>
              <w:rPr>
                <w:sz w:val="20"/>
              </w:rPr>
              <w:t>Objective: integrate the FDE mobilisable-potential methodology of PILAR-2b with the DBFZ Resource-Database potential cascade to produce harmonised, comparable residue-to-biogas potential estimates for São Paulo and a German reference region, exposed through interoperable open APIs and a shared decision-support (MCDA) layer for plant siting.</w:t>
            </w:r>
          </w:p>
          <w:p>
            <w:pPr>
              <w:spacing w:before="40"/>
            </w:pPr>
            <w:r>
              <w:rPr>
                <w:sz w:val="20"/>
              </w:rPr>
              <w:t>Outputs: (1) a harmonised data model &amp; method paper; (2) a working PILAR-2b ↔ resDB interoperability demonstrator; (3) a joint MCDA siting module; (4) a concept note for a follow-on bilateral grant.</w:t>
            </w:r>
          </w:p>
          <w:p>
            <w:pPr>
              <w:spacing w:before="40"/>
            </w:pPr>
            <w:r>
              <w:rPr>
                <w:sz w:val="20"/>
              </w:rPr>
              <w:t>Why DBFZ: access to resDB methods/data, system-analysis expertise, and supervision by a GIS/remote-sensing group with Brazil experience.</w:t>
            </w:r>
          </w:p>
        </w:tc>
      </w:tr>
    </w:tbl>
    <w:p>
      <w:pPr>
        <w:spacing w:after="40"/>
      </w:pPr>
    </w:p>
    <w:p>
      <w:r>
        <w:br w:type="page"/>
      </w:r>
    </w:p>
    <w:p>
      <w:pPr>
        <w:pStyle w:val="Heading1"/>
      </w:pPr>
      <w:r>
        <w:t>8. Proposed two-day agenda</w:t>
      </w:r>
    </w:p>
    <w:p>
      <w:pPr>
        <w:pBdr>
          <w:bottom w:val="single" w:sz="6" w:space="1" w:color="2E7D32"/>
        </w:pBdr>
        <w:spacing w:after="40"/>
      </w:pPr>
    </w:p>
    <w:p>
      <w:r>
        <w:rPr>
          <w:b w:val="0"/>
          <w:i w:val="0"/>
        </w:rPr>
        <w:t>Send this (or a trimmed version) ahead of time so hosts can prepare and invite the right people. Adapt to their constraints — proposing structure is itself a professional signal.</w:t>
      </w:r>
    </w:p>
    <w:p>
      <w:pPr>
        <w:pStyle w:val="Heading2"/>
      </w:pPr>
      <w:r>
        <w:t>Day 1 — Mutual understanding</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val="clear" w:fill="EAF3EC"/>
          </w:tcPr>
          <w:p>
            <w:r/>
            <w:r>
              <w:rPr>
                <w:rFonts w:ascii="Calibri" w:hAnsi="Calibri"/>
                <w:b/>
                <w:color w:val="1B2A3A"/>
                <w:sz w:val="19"/>
              </w:rPr>
              <w:t>Block</w:t>
            </w:r>
          </w:p>
        </w:tc>
        <w:tc>
          <w:tcPr>
            <w:tcW w:type="dxa" w:w="4176"/>
            <w:shd w:val="clear" w:fill="EAF3EC"/>
          </w:tcPr>
          <w:p>
            <w:r/>
            <w:r>
              <w:rPr>
                <w:rFonts w:ascii="Calibri" w:hAnsi="Calibri"/>
                <w:b/>
                <w:color w:val="1B2A3A"/>
                <w:sz w:val="19"/>
              </w:rPr>
              <w:t>Session</w:t>
            </w:r>
          </w:p>
        </w:tc>
        <w:tc>
          <w:tcPr>
            <w:tcW w:type="dxa" w:w="3600"/>
            <w:shd w:val="clear" w:fill="EAF3EC"/>
          </w:tcPr>
          <w:p>
            <w:r/>
            <w:r>
              <w:rPr>
                <w:rFonts w:ascii="Calibri" w:hAnsi="Calibri"/>
                <w:b/>
                <w:color w:val="1B2A3A"/>
                <w:sz w:val="19"/>
              </w:rPr>
              <w:t>Goal</w:t>
            </w:r>
          </w:p>
        </w:tc>
      </w:tr>
      <w:tr>
        <w:tc>
          <w:tcPr>
            <w:tcW w:type="dxa" w:w="1584"/>
          </w:tcPr>
          <w:p>
            <w:r/>
            <w:r>
              <w:rPr>
                <w:rFonts w:ascii="Calibri" w:hAnsi="Calibri"/>
                <w:b w:val="0"/>
                <w:sz w:val="19"/>
              </w:rPr>
              <w:t>Morning</w:t>
            </w:r>
          </w:p>
        </w:tc>
        <w:tc>
          <w:tcPr>
            <w:tcW w:type="dxa" w:w="4176"/>
          </w:tcPr>
          <w:p>
            <w:r/>
            <w:r>
              <w:rPr>
                <w:rFonts w:ascii="Calibri" w:hAnsi="Calibri"/>
                <w:b w:val="0"/>
                <w:sz w:val="19"/>
              </w:rPr>
              <w:t>Welcome; DBFZ overview &amp; facility tour (labs, DataLab)</w:t>
            </w:r>
          </w:p>
        </w:tc>
        <w:tc>
          <w:tcPr>
            <w:tcW w:type="dxa" w:w="3600"/>
          </w:tcPr>
          <w:p>
            <w:r/>
            <w:r>
              <w:rPr>
                <w:rFonts w:ascii="Calibri" w:hAnsi="Calibri"/>
                <w:b w:val="0"/>
                <w:sz w:val="19"/>
              </w:rPr>
              <w:t>Understand their infrastructure; show genuine interest</w:t>
            </w:r>
          </w:p>
        </w:tc>
      </w:tr>
      <w:tr>
        <w:tc>
          <w:tcPr>
            <w:tcW w:type="dxa" w:w="1584"/>
            <w:shd w:val="clear" w:fill="F4F8F5"/>
          </w:tcPr>
          <w:p>
            <w:r/>
            <w:r>
              <w:rPr>
                <w:rFonts w:ascii="Calibri" w:hAnsi="Calibri"/>
                <w:b w:val="0"/>
                <w:sz w:val="19"/>
              </w:rPr>
              <w:t>Late morning</w:t>
            </w:r>
          </w:p>
        </w:tc>
        <w:tc>
          <w:tcPr>
            <w:tcW w:type="dxa" w:w="4176"/>
            <w:shd w:val="clear" w:fill="F4F8F5"/>
          </w:tcPr>
          <w:p>
            <w:r/>
            <w:r>
              <w:rPr>
                <w:rFonts w:ascii="Calibri" w:hAnsi="Calibri"/>
                <w:b w:val="0"/>
                <w:sz w:val="19"/>
              </w:rPr>
              <w:t>PILAR-2b live demo (15–20 min) + Q&amp;A</w:t>
            </w:r>
          </w:p>
        </w:tc>
        <w:tc>
          <w:tcPr>
            <w:tcW w:type="dxa" w:w="3600"/>
            <w:shd w:val="clear" w:fill="F4F8F5"/>
          </w:tcPr>
          <w:p>
            <w:r/>
            <w:r>
              <w:rPr>
                <w:rFonts w:ascii="Calibri" w:hAnsi="Calibri"/>
                <w:b w:val="0"/>
                <w:sz w:val="19"/>
              </w:rPr>
              <w:t>Establish credibility; trigger ‘we could connect this’ reactions</w:t>
            </w:r>
          </w:p>
        </w:tc>
      </w:tr>
      <w:tr>
        <w:tc>
          <w:tcPr>
            <w:tcW w:type="dxa" w:w="1584"/>
          </w:tcPr>
          <w:p>
            <w:r/>
            <w:r>
              <w:rPr>
                <w:rFonts w:ascii="Calibri" w:hAnsi="Calibri"/>
                <w:b w:val="0"/>
                <w:sz w:val="19"/>
              </w:rPr>
              <w:t>Lunch</w:t>
            </w:r>
          </w:p>
        </w:tc>
        <w:tc>
          <w:tcPr>
            <w:tcW w:type="dxa" w:w="4176"/>
          </w:tcPr>
          <w:p>
            <w:r/>
            <w:r>
              <w:rPr>
                <w:rFonts w:ascii="Calibri" w:hAnsi="Calibri"/>
                <w:b w:val="0"/>
                <w:sz w:val="19"/>
              </w:rPr>
              <w:t>Informal — with WG Resources members</w:t>
            </w:r>
          </w:p>
        </w:tc>
        <w:tc>
          <w:tcPr>
            <w:tcW w:type="dxa" w:w="3600"/>
          </w:tcPr>
          <w:p>
            <w:r/>
            <w:r>
              <w:rPr>
                <w:rFonts w:ascii="Calibri" w:hAnsi="Calibri"/>
                <w:b w:val="0"/>
                <w:sz w:val="19"/>
              </w:rPr>
              <w:t>Personal rapport; learn who does what</w:t>
            </w:r>
          </w:p>
        </w:tc>
      </w:tr>
      <w:tr>
        <w:tc>
          <w:tcPr>
            <w:tcW w:type="dxa" w:w="1584"/>
            <w:shd w:val="clear" w:fill="F4F8F5"/>
          </w:tcPr>
          <w:p>
            <w:r/>
            <w:r>
              <w:rPr>
                <w:rFonts w:ascii="Calibri" w:hAnsi="Calibri"/>
                <w:b w:val="0"/>
                <w:sz w:val="19"/>
              </w:rPr>
              <w:t>Afternoon</w:t>
            </w:r>
          </w:p>
        </w:tc>
        <w:tc>
          <w:tcPr>
            <w:tcW w:type="dxa" w:w="4176"/>
            <w:shd w:val="clear" w:fill="F4F8F5"/>
          </w:tcPr>
          <w:p>
            <w:r/>
            <w:r>
              <w:rPr>
                <w:rFonts w:ascii="Calibri" w:hAnsi="Calibri"/>
                <w:b w:val="0"/>
                <w:sz w:val="19"/>
              </w:rPr>
              <w:t>Deep-dive: methodology comparison (FDE ↔ DBFZ cascade)</w:t>
            </w:r>
          </w:p>
        </w:tc>
        <w:tc>
          <w:tcPr>
            <w:tcW w:type="dxa" w:w="3600"/>
            <w:shd w:val="clear" w:fill="F4F8F5"/>
          </w:tcPr>
          <w:p>
            <w:r/>
            <w:r>
              <w:rPr>
                <w:rFonts w:ascii="Calibri" w:hAnsi="Calibri"/>
                <w:b w:val="0"/>
                <w:sz w:val="19"/>
              </w:rPr>
              <w:t>Find the precise methodological interface</w:t>
            </w:r>
          </w:p>
        </w:tc>
      </w:tr>
      <w:tr>
        <w:tc>
          <w:tcPr>
            <w:tcW w:type="dxa" w:w="1584"/>
          </w:tcPr>
          <w:p>
            <w:r/>
            <w:r>
              <w:rPr>
                <w:rFonts w:ascii="Calibri" w:hAnsi="Calibri"/>
                <w:b w:val="0"/>
                <w:sz w:val="19"/>
              </w:rPr>
              <w:t>End of day</w:t>
            </w:r>
          </w:p>
        </w:tc>
        <w:tc>
          <w:tcPr>
            <w:tcW w:type="dxa" w:w="4176"/>
          </w:tcPr>
          <w:p>
            <w:r/>
            <w:r>
              <w:rPr>
                <w:rFonts w:ascii="Calibri" w:hAnsi="Calibri"/>
                <w:b w:val="0"/>
                <w:sz w:val="19"/>
              </w:rPr>
              <w:t>Recap; capture candidate collaboration ideas</w:t>
            </w:r>
          </w:p>
        </w:tc>
        <w:tc>
          <w:tcPr>
            <w:tcW w:type="dxa" w:w="3600"/>
          </w:tcPr>
          <w:p>
            <w:r/>
            <w:r>
              <w:rPr>
                <w:rFonts w:ascii="Calibri" w:hAnsi="Calibri"/>
                <w:b w:val="0"/>
                <w:sz w:val="19"/>
              </w:rPr>
              <w:t>A shared shortlist to refine on Day 2</w:t>
            </w:r>
          </w:p>
        </w:tc>
      </w:tr>
    </w:tbl>
    <w:p>
      <w:pPr>
        <w:pStyle w:val="Heading2"/>
      </w:pPr>
      <w:r>
        <w:t>Day 2 — From ideas to commitments</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val="clear" w:fill="EAF3EC"/>
          </w:tcPr>
          <w:p>
            <w:r/>
            <w:r>
              <w:rPr>
                <w:rFonts w:ascii="Calibri" w:hAnsi="Calibri"/>
                <w:b/>
                <w:color w:val="1B2A3A"/>
                <w:sz w:val="19"/>
              </w:rPr>
              <w:t>Block</w:t>
            </w:r>
          </w:p>
        </w:tc>
        <w:tc>
          <w:tcPr>
            <w:tcW w:type="dxa" w:w="4176"/>
            <w:shd w:val="clear" w:fill="EAF3EC"/>
          </w:tcPr>
          <w:p>
            <w:r/>
            <w:r>
              <w:rPr>
                <w:rFonts w:ascii="Calibri" w:hAnsi="Calibri"/>
                <w:b/>
                <w:color w:val="1B2A3A"/>
                <w:sz w:val="19"/>
              </w:rPr>
              <w:t>Session</w:t>
            </w:r>
          </w:p>
        </w:tc>
        <w:tc>
          <w:tcPr>
            <w:tcW w:type="dxa" w:w="3600"/>
            <w:shd w:val="clear" w:fill="EAF3EC"/>
          </w:tcPr>
          <w:p>
            <w:r/>
            <w:r>
              <w:rPr>
                <w:rFonts w:ascii="Calibri" w:hAnsi="Calibri"/>
                <w:b/>
                <w:color w:val="1B2A3A"/>
                <w:sz w:val="19"/>
              </w:rPr>
              <w:t>Goal</w:t>
            </w:r>
          </w:p>
        </w:tc>
      </w:tr>
      <w:tr>
        <w:tc>
          <w:tcPr>
            <w:tcW w:type="dxa" w:w="1584"/>
          </w:tcPr>
          <w:p>
            <w:r/>
            <w:r>
              <w:rPr>
                <w:rFonts w:ascii="Calibri" w:hAnsi="Calibri"/>
                <w:b w:val="0"/>
                <w:sz w:val="19"/>
              </w:rPr>
              <w:t>Morning</w:t>
            </w:r>
          </w:p>
        </w:tc>
        <w:tc>
          <w:tcPr>
            <w:tcW w:type="dxa" w:w="4176"/>
          </w:tcPr>
          <w:p>
            <w:r/>
            <w:r>
              <w:rPr>
                <w:rFonts w:ascii="Calibri" w:hAnsi="Calibri"/>
                <w:b w:val="0"/>
                <w:sz w:val="19"/>
              </w:rPr>
              <w:t>Data-integration working session (see Section 9)</w:t>
            </w:r>
          </w:p>
        </w:tc>
        <w:tc>
          <w:tcPr>
            <w:tcW w:type="dxa" w:w="3600"/>
          </w:tcPr>
          <w:p>
            <w:r/>
            <w:r>
              <w:rPr>
                <w:rFonts w:ascii="Calibri" w:hAnsi="Calibri"/>
                <w:b w:val="0"/>
                <w:sz w:val="19"/>
              </w:rPr>
              <w:t>Test real interoperability; identify schema gaps</w:t>
            </w:r>
          </w:p>
        </w:tc>
      </w:tr>
      <w:tr>
        <w:tc>
          <w:tcPr>
            <w:tcW w:type="dxa" w:w="1584"/>
            <w:shd w:val="clear" w:fill="F4F8F5"/>
          </w:tcPr>
          <w:p>
            <w:r/>
            <w:r>
              <w:rPr>
                <w:rFonts w:ascii="Calibri" w:hAnsi="Calibri"/>
                <w:b w:val="0"/>
                <w:sz w:val="19"/>
              </w:rPr>
              <w:t>Late morning</w:t>
            </w:r>
          </w:p>
        </w:tc>
        <w:tc>
          <w:tcPr>
            <w:tcW w:type="dxa" w:w="4176"/>
            <w:shd w:val="clear" w:fill="F4F8F5"/>
          </w:tcPr>
          <w:p>
            <w:r/>
            <w:r>
              <w:rPr>
                <w:rFonts w:ascii="Calibri" w:hAnsi="Calibri"/>
                <w:b w:val="0"/>
                <w:sz w:val="19"/>
              </w:rPr>
              <w:t>Collaboration menu review (Section 6); pick 1–2</w:t>
            </w:r>
          </w:p>
        </w:tc>
        <w:tc>
          <w:tcPr>
            <w:tcW w:type="dxa" w:w="3600"/>
            <w:shd w:val="clear" w:fill="F4F8F5"/>
          </w:tcPr>
          <w:p>
            <w:r/>
            <w:r>
              <w:rPr>
                <w:rFonts w:ascii="Calibri" w:hAnsi="Calibri"/>
                <w:b w:val="0"/>
                <w:sz w:val="19"/>
              </w:rPr>
              <w:t>Named owners + next steps for the first joint activity</w:t>
            </w:r>
          </w:p>
        </w:tc>
      </w:tr>
      <w:tr>
        <w:tc>
          <w:tcPr>
            <w:tcW w:type="dxa" w:w="1584"/>
          </w:tcPr>
          <w:p>
            <w:r/>
            <w:r>
              <w:rPr>
                <w:rFonts w:ascii="Calibri" w:hAnsi="Calibri"/>
                <w:b w:val="0"/>
                <w:sz w:val="19"/>
              </w:rPr>
              <w:t>Lunch</w:t>
            </w:r>
          </w:p>
        </w:tc>
        <w:tc>
          <w:tcPr>
            <w:tcW w:type="dxa" w:w="4176"/>
          </w:tcPr>
          <w:p>
            <w:r/>
            <w:r>
              <w:rPr>
                <w:rFonts w:ascii="Calibri" w:hAnsi="Calibri"/>
                <w:b w:val="0"/>
                <w:sz w:val="19"/>
              </w:rPr>
              <w:t>Open / network with department leadership if possible</w:t>
            </w:r>
          </w:p>
        </w:tc>
        <w:tc>
          <w:tcPr>
            <w:tcW w:type="dxa" w:w="3600"/>
          </w:tcPr>
          <w:p>
            <w:r/>
            <w:r>
              <w:rPr>
                <w:rFonts w:ascii="Calibri" w:hAnsi="Calibri"/>
                <w:b w:val="0"/>
                <w:sz w:val="19"/>
              </w:rPr>
              <w:t>Visibility beyond the immediate group</w:t>
            </w:r>
          </w:p>
        </w:tc>
      </w:tr>
      <w:tr>
        <w:tc>
          <w:tcPr>
            <w:tcW w:type="dxa" w:w="1584"/>
            <w:shd w:val="clear" w:fill="F4F8F5"/>
          </w:tcPr>
          <w:p>
            <w:r/>
            <w:r>
              <w:rPr>
                <w:rFonts w:ascii="Calibri" w:hAnsi="Calibri"/>
                <w:b w:val="0"/>
                <w:sz w:val="19"/>
              </w:rPr>
              <w:t>Afternoon</w:t>
            </w:r>
          </w:p>
        </w:tc>
        <w:tc>
          <w:tcPr>
            <w:tcW w:type="dxa" w:w="4176"/>
            <w:shd w:val="clear" w:fill="F4F8F5"/>
          </w:tcPr>
          <w:p>
            <w:r/>
            <w:r>
              <w:rPr>
                <w:rFonts w:ascii="Calibri" w:hAnsi="Calibri"/>
                <w:b w:val="0"/>
                <w:sz w:val="19"/>
              </w:rPr>
              <w:t>Post-doc discussion: host, timing, funding route</w:t>
            </w:r>
          </w:p>
        </w:tc>
        <w:tc>
          <w:tcPr>
            <w:tcW w:type="dxa" w:w="3600"/>
            <w:shd w:val="clear" w:fill="F4F8F5"/>
          </w:tcPr>
          <w:p>
            <w:r/>
            <w:r>
              <w:rPr>
                <w:rFonts w:ascii="Calibri" w:hAnsi="Calibri"/>
                <w:b w:val="0"/>
                <w:sz w:val="19"/>
              </w:rPr>
              <w:t>In-principle agreement + identified funding instrument</w:t>
            </w:r>
          </w:p>
        </w:tc>
      </w:tr>
      <w:tr>
        <w:tc>
          <w:tcPr>
            <w:tcW w:type="dxa" w:w="1584"/>
          </w:tcPr>
          <w:p>
            <w:r/>
            <w:r>
              <w:rPr>
                <w:rFonts w:ascii="Calibri" w:hAnsi="Calibri"/>
                <w:b w:val="0"/>
                <w:sz w:val="19"/>
              </w:rPr>
              <w:t>End of day</w:t>
            </w:r>
          </w:p>
        </w:tc>
        <w:tc>
          <w:tcPr>
            <w:tcW w:type="dxa" w:w="4176"/>
          </w:tcPr>
          <w:p>
            <w:r/>
            <w:r>
              <w:rPr>
                <w:rFonts w:ascii="Calibri" w:hAnsi="Calibri"/>
                <w:b w:val="0"/>
                <w:sz w:val="19"/>
              </w:rPr>
              <w:t>Written wrap-up: who does what, by when</w:t>
            </w:r>
          </w:p>
        </w:tc>
        <w:tc>
          <w:tcPr>
            <w:tcW w:type="dxa" w:w="3600"/>
          </w:tcPr>
          <w:p>
            <w:r/>
            <w:r>
              <w:rPr>
                <w:rFonts w:ascii="Calibri" w:hAnsi="Calibri"/>
                <w:b w:val="0"/>
                <w:sz w:val="19"/>
              </w:rPr>
              <w:t>A short shared action list you both keep</w:t>
            </w:r>
          </w:p>
        </w:tc>
      </w:tr>
    </w:tbl>
    <w:p>
      <w:r>
        <w:br w:type="page"/>
      </w:r>
    </w:p>
    <w:p>
      <w:pPr>
        <w:pStyle w:val="Heading1"/>
      </w:pPr>
      <w:r>
        <w:t>9. Data-integration working session — technical preparation</w:t>
      </w:r>
    </w:p>
    <w:p>
      <w:pPr>
        <w:pBdr>
          <w:bottom w:val="single" w:sz="6" w:space="1" w:color="2E7D32"/>
        </w:pBdr>
        <w:spacing w:after="40"/>
      </w:pPr>
    </w:p>
    <w:p>
      <w:r>
        <w:rPr>
          <w:b w:val="0"/>
          <w:i w:val="0"/>
        </w:rPr>
        <w:t>This is where you shine as a developer. Prepare so the session produces something real, not just slides.</w:t>
      </w:r>
    </w:p>
    <w:p>
      <w:pPr>
        <w:pStyle w:val="Heading2"/>
      </w:pPr>
      <w:r>
        <w:t>9.1 Bring these, ready to show</w:t>
      </w:r>
    </w:p>
    <w:p>
      <w:pPr>
        <w:pStyle w:val="ListBullet"/>
      </w:pPr>
      <w:r>
        <w:rPr>
          <w:b/>
        </w:rPr>
        <w:t xml:space="preserve">Live + offline demo — </w:t>
      </w:r>
      <w:r>
        <w:t>a running PILAR-2b instance (live URL + a local/offline fallback in case of venue Wi-Fi issues);</w:t>
      </w:r>
    </w:p>
    <w:p>
      <w:pPr>
        <w:pStyle w:val="ListBullet"/>
      </w:pPr>
      <w:r>
        <w:rPr>
          <w:b/>
        </w:rPr>
        <w:t xml:space="preserve">API docs — </w:t>
      </w:r>
      <w:r>
        <w:t>your API documentation and a couple of example endpoint calls (municipal potential, proximity analysis);</w:t>
      </w:r>
    </w:p>
    <w:p>
      <w:pPr>
        <w:pStyle w:val="ListBullet"/>
      </w:pPr>
      <w:r>
        <w:rPr>
          <w:b/>
        </w:rPr>
        <w:t xml:space="preserve">Schema / data model — </w:t>
      </w:r>
      <w:r>
        <w:t>your data dictionary: residue types, parameters (BMP/VS/TS), FDE factors, units, and source datasets;</w:t>
      </w:r>
    </w:p>
    <w:p>
      <w:pPr>
        <w:pStyle w:val="ListBullet"/>
      </w:pPr>
      <w:r>
        <w:rPr>
          <w:b/>
        </w:rPr>
        <w:t xml:space="preserve">Sample data — </w:t>
      </w:r>
      <w:r>
        <w:t>2–3 sample datasets (e.g. a GeoJSON of municipal potentials, a residue parameter table) you can hand over or compare on the spot.</w:t>
      </w:r>
    </w:p>
    <w:p>
      <w:pPr>
        <w:pStyle w:val="Heading2"/>
      </w:pPr>
      <w:r>
        <w:t>9.2 Interoperability checklist to discuss</w:t>
      </w:r>
    </w:p>
    <w:tbl>
      <w:tblPr>
        <w:tblStyle w:val="TableGrid"/>
        <w:tblW w:type="auto" w:w="0"/>
        <w:jc w:val="center"/>
        <w:tblLook w:firstColumn="1" w:firstRow="1" w:lastColumn="0" w:lastRow="0" w:noHBand="0" w:noVBand="1" w:val="04A0"/>
      </w:tblPr>
      <w:tblGrid>
        <w:gridCol w:w="4320"/>
        <w:gridCol w:w="4320"/>
      </w:tblGrid>
      <w:tr>
        <w:tc>
          <w:tcPr>
            <w:tcW w:type="dxa" w:w="2448"/>
            <w:shd w:val="clear" w:fill="EAF3EC"/>
          </w:tcPr>
          <w:p>
            <w:r/>
            <w:r>
              <w:rPr>
                <w:rFonts w:ascii="Calibri" w:hAnsi="Calibri"/>
                <w:b/>
                <w:color w:val="1B2A3A"/>
                <w:sz w:val="19"/>
              </w:rPr>
              <w:t>Topic</w:t>
            </w:r>
          </w:p>
        </w:tc>
        <w:tc>
          <w:tcPr>
            <w:tcW w:type="dxa" w:w="6912"/>
            <w:shd w:val="clear" w:fill="EAF3EC"/>
          </w:tcPr>
          <w:p>
            <w:r/>
            <w:r>
              <w:rPr>
                <w:rFonts w:ascii="Calibri" w:hAnsi="Calibri"/>
                <w:b/>
                <w:color w:val="1B2A3A"/>
                <w:sz w:val="19"/>
              </w:rPr>
              <w:t>Questions to resolve together</w:t>
            </w:r>
          </w:p>
        </w:tc>
      </w:tr>
      <w:tr>
        <w:tc>
          <w:tcPr>
            <w:tcW w:type="dxa" w:w="2448"/>
          </w:tcPr>
          <w:p>
            <w:r/>
            <w:r>
              <w:rPr>
                <w:rFonts w:ascii="Calibri" w:hAnsi="Calibri"/>
                <w:b w:val="0"/>
                <w:sz w:val="19"/>
              </w:rPr>
              <w:t>Data formats</w:t>
            </w:r>
          </w:p>
        </w:tc>
        <w:tc>
          <w:tcPr>
            <w:tcW w:type="dxa" w:w="6912"/>
          </w:tcPr>
          <w:p>
            <w:r/>
            <w:r>
              <w:rPr>
                <w:rFonts w:ascii="Calibri" w:hAnsi="Calibri"/>
                <w:b w:val="0"/>
                <w:sz w:val="19"/>
              </w:rPr>
              <w:t>Common exchange formats (GeoJSON, GeoPackage, CSV, Parquet)? Coordinate reference systems &amp; precision?</w:t>
            </w:r>
          </w:p>
        </w:tc>
      </w:tr>
      <w:tr>
        <w:tc>
          <w:tcPr>
            <w:tcW w:type="dxa" w:w="2448"/>
            <w:shd w:val="clear" w:fill="F4F8F5"/>
          </w:tcPr>
          <w:p>
            <w:r/>
            <w:r>
              <w:rPr>
                <w:rFonts w:ascii="Calibri" w:hAnsi="Calibri"/>
                <w:b w:val="0"/>
                <w:sz w:val="19"/>
              </w:rPr>
              <w:t>APIs</w:t>
            </w:r>
          </w:p>
        </w:tc>
        <w:tc>
          <w:tcPr>
            <w:tcW w:type="dxa" w:w="6912"/>
            <w:shd w:val="clear" w:fill="F4F8F5"/>
          </w:tcPr>
          <w:p>
            <w:r/>
            <w:r>
              <w:rPr>
                <w:rFonts w:ascii="Calibri" w:hAnsi="Calibri"/>
                <w:b w:val="0"/>
                <w:sz w:val="19"/>
              </w:rPr>
              <w:t>Can PILAR-2b consume the resDB API and vice-versa? Auth, rate limits, schema stability?</w:t>
            </w:r>
          </w:p>
        </w:tc>
      </w:tr>
      <w:tr>
        <w:tc>
          <w:tcPr>
            <w:tcW w:type="dxa" w:w="2448"/>
          </w:tcPr>
          <w:p>
            <w:r/>
            <w:r>
              <w:rPr>
                <w:rFonts w:ascii="Calibri" w:hAnsi="Calibri"/>
                <w:b w:val="0"/>
                <w:sz w:val="19"/>
              </w:rPr>
              <w:t>Residue taxonomy</w:t>
            </w:r>
          </w:p>
        </w:tc>
        <w:tc>
          <w:tcPr>
            <w:tcW w:type="dxa" w:w="6912"/>
          </w:tcPr>
          <w:p>
            <w:r/>
            <w:r>
              <w:rPr>
                <w:rFonts w:ascii="Calibri" w:hAnsi="Calibri"/>
                <w:b w:val="0"/>
                <w:sz w:val="19"/>
              </w:rPr>
              <w:t>How do we reconcile 77 (DE) vs 50+ (SP) residue types into a shared ontology/crosswalk?</w:t>
            </w:r>
          </w:p>
        </w:tc>
      </w:tr>
      <w:tr>
        <w:tc>
          <w:tcPr>
            <w:tcW w:type="dxa" w:w="2448"/>
            <w:shd w:val="clear" w:fill="F4F8F5"/>
          </w:tcPr>
          <w:p>
            <w:r/>
            <w:r>
              <w:rPr>
                <w:rFonts w:ascii="Calibri" w:hAnsi="Calibri"/>
                <w:b w:val="0"/>
                <w:sz w:val="19"/>
              </w:rPr>
              <w:t>Parameters</w:t>
            </w:r>
          </w:p>
        </w:tc>
        <w:tc>
          <w:tcPr>
            <w:tcW w:type="dxa" w:w="6912"/>
            <w:shd w:val="clear" w:fill="F4F8F5"/>
          </w:tcPr>
          <w:p>
            <w:r/>
            <w:r>
              <w:rPr>
                <w:rFonts w:ascii="Calibri" w:hAnsi="Calibri"/>
                <w:b w:val="0"/>
                <w:sz w:val="19"/>
              </w:rPr>
              <w:t>Are BMP/VS/TS definitions and units identical? Reference sources comparable?</w:t>
            </w:r>
          </w:p>
        </w:tc>
      </w:tr>
      <w:tr>
        <w:tc>
          <w:tcPr>
            <w:tcW w:type="dxa" w:w="2448"/>
          </w:tcPr>
          <w:p>
            <w:r/>
            <w:r>
              <w:rPr>
                <w:rFonts w:ascii="Calibri" w:hAnsi="Calibri"/>
                <w:b w:val="0"/>
                <w:sz w:val="19"/>
              </w:rPr>
              <w:t>Potential cascade</w:t>
            </w:r>
          </w:p>
        </w:tc>
        <w:tc>
          <w:tcPr>
            <w:tcW w:type="dxa" w:w="6912"/>
          </w:tcPr>
          <w:p>
            <w:r/>
            <w:r>
              <w:rPr>
                <w:rFonts w:ascii="Calibri" w:hAnsi="Calibri"/>
                <w:b w:val="0"/>
                <w:sz w:val="19"/>
              </w:rPr>
              <w:t>Exact definitions of theoretical / technical / mobilisable — where do FDE factors map?</w:t>
            </w:r>
          </w:p>
        </w:tc>
      </w:tr>
      <w:tr>
        <w:tc>
          <w:tcPr>
            <w:tcW w:type="dxa" w:w="2448"/>
            <w:shd w:val="clear" w:fill="F4F8F5"/>
          </w:tcPr>
          <w:p>
            <w:r/>
            <w:r>
              <w:rPr>
                <w:rFonts w:ascii="Calibri" w:hAnsi="Calibri"/>
                <w:b w:val="0"/>
                <w:sz w:val="19"/>
              </w:rPr>
              <w:t>Standards</w:t>
            </w:r>
          </w:p>
        </w:tc>
        <w:tc>
          <w:tcPr>
            <w:tcW w:type="dxa" w:w="6912"/>
            <w:shd w:val="clear" w:fill="F4F8F5"/>
          </w:tcPr>
          <w:p>
            <w:r/>
            <w:r>
              <w:rPr>
                <w:rFonts w:ascii="Calibri" w:hAnsi="Calibri"/>
                <w:b w:val="0"/>
                <w:sz w:val="19"/>
              </w:rPr>
              <w:t>OGC services (WMS/WFS/OGC API), INSPIRE alignment, metadata standards?</w:t>
            </w:r>
          </w:p>
        </w:tc>
      </w:tr>
      <w:tr>
        <w:tc>
          <w:tcPr>
            <w:tcW w:type="dxa" w:w="2448"/>
          </w:tcPr>
          <w:p>
            <w:r/>
            <w:r>
              <w:rPr>
                <w:rFonts w:ascii="Calibri" w:hAnsi="Calibri"/>
                <w:b w:val="0"/>
                <w:sz w:val="19"/>
              </w:rPr>
              <w:t>Licensing &amp; open data</w:t>
            </w:r>
          </w:p>
        </w:tc>
        <w:tc>
          <w:tcPr>
            <w:tcW w:type="dxa" w:w="6912"/>
          </w:tcPr>
          <w:p>
            <w:r/>
            <w:r>
              <w:rPr>
                <w:rFonts w:ascii="Calibri" w:hAnsi="Calibri"/>
                <w:b w:val="0"/>
                <w:sz w:val="19"/>
              </w:rPr>
              <w:t>Compatible licences (GPL-3.0, CC-BY)? What can be openly shared vs. restricted?</w:t>
            </w:r>
          </w:p>
        </w:tc>
      </w:tr>
      <w:tr>
        <w:tc>
          <w:tcPr>
            <w:tcW w:type="dxa" w:w="2448"/>
            <w:shd w:val="clear" w:fill="F4F8F5"/>
          </w:tcPr>
          <w:p>
            <w:r/>
            <w:r>
              <w:rPr>
                <w:rFonts w:ascii="Calibri" w:hAnsi="Calibri"/>
                <w:b w:val="0"/>
                <w:sz w:val="19"/>
              </w:rPr>
              <w:t>Data sovereignty / GDPR</w:t>
            </w:r>
          </w:p>
        </w:tc>
        <w:tc>
          <w:tcPr>
            <w:tcW w:type="dxa" w:w="6912"/>
            <w:shd w:val="clear" w:fill="F4F8F5"/>
          </w:tcPr>
          <w:p>
            <w:r/>
            <w:r>
              <w:rPr>
                <w:rFonts w:ascii="Calibri" w:hAnsi="Calibri"/>
                <w:b w:val="0"/>
                <w:sz w:val="19"/>
              </w:rPr>
              <w:t>Any personal/farm-level data constraints? German/EU data-protection considerations?</w:t>
            </w:r>
          </w:p>
        </w:tc>
      </w:tr>
      <w:tr>
        <w:tc>
          <w:tcPr>
            <w:tcW w:type="dxa" w:w="2448"/>
          </w:tcPr>
          <w:p>
            <w:r/>
            <w:r>
              <w:rPr>
                <w:rFonts w:ascii="Calibri" w:hAnsi="Calibri"/>
                <w:b w:val="0"/>
                <w:sz w:val="19"/>
              </w:rPr>
              <w:t>Versioning &amp; reproducibility</w:t>
            </w:r>
          </w:p>
        </w:tc>
        <w:tc>
          <w:tcPr>
            <w:tcW w:type="dxa" w:w="6912"/>
          </w:tcPr>
          <w:p>
            <w:r/>
            <w:r>
              <w:rPr>
                <w:rFonts w:ascii="Calibri" w:hAnsi="Calibri"/>
                <w:b w:val="0"/>
                <w:sz w:val="19"/>
              </w:rPr>
              <w:t>How are datasets versioned (e.g. Zenodo DOIs as DBFZ uses)? Provenance tracking?</w:t>
            </w:r>
          </w:p>
        </w:tc>
      </w:tr>
    </w:tbl>
    <w:tbl>
      <w:tblPr>
        <w:tblStyle w:val="TableGrid"/>
        <w:tblW w:type="auto" w:w="0"/>
        <w:tblLook w:firstColumn="1" w:firstRow="1" w:lastColumn="0" w:lastRow="0" w:noHBand="0" w:noVBand="1" w:val="04A0"/>
      </w:tblPr>
      <w:tblGrid>
        <w:gridCol w:w="8640"/>
      </w:tblGrid>
      <w:tr>
        <w:tc>
          <w:tcPr>
            <w:tcW w:type="dxa" w:w="8640"/>
            <w:shd w:val="clear" w:fill="EAF3EC"/>
          </w:tcPr>
          <w:p>
            <w:r/>
            <w:r>
              <w:rPr>
                <w:b/>
                <w:color w:val="2E7D32"/>
                <w:sz w:val="21"/>
              </w:rPr>
              <w:t>Make it tangible</w:t>
            </w:r>
          </w:p>
          <w:p>
            <w:pPr>
              <w:spacing w:before="40"/>
            </w:pPr>
            <w:r>
              <w:rPr>
                <w:sz w:val="20"/>
              </w:rPr>
              <w:t>If venue and time allow, attempt a live pull from the resDB API into a scratch PILAR-2b view — even a rough Germany-vs-São Paulo bar chart on one feedstock. A 30-minute working prototype is worth more than any slide and demonstrates exactly the value of hosting you.</w:t>
            </w:r>
          </w:p>
        </w:tc>
      </w:tr>
    </w:tbl>
    <w:p>
      <w:pPr>
        <w:spacing w:after="40"/>
      </w:pPr>
    </w:p>
    <w:p>
      <w:r>
        <w:br w:type="page"/>
      </w:r>
    </w:p>
    <w:p>
      <w:pPr>
        <w:pStyle w:val="Heading1"/>
      </w:pPr>
      <w:r>
        <w:t>10. Questions to ask them</w:t>
      </w:r>
    </w:p>
    <w:p>
      <w:pPr>
        <w:pBdr>
          <w:bottom w:val="single" w:sz="6" w:space="1" w:color="2E7D32"/>
        </w:pBdr>
        <w:spacing w:after="40"/>
      </w:pPr>
    </w:p>
    <w:p>
      <w:r>
        <w:rPr>
          <w:b w:val="0"/>
          <w:i w:val="0"/>
        </w:rPr>
        <w:t>Good questions signal preparation and respect. Group them so you can pick by context.</w:t>
      </w:r>
    </w:p>
    <w:p>
      <w:pPr>
        <w:pStyle w:val="Heading2"/>
      </w:pPr>
      <w:r>
        <w:t>Scientific &amp; methodological</w:t>
      </w:r>
    </w:p>
    <w:p>
      <w:pPr>
        <w:pStyle w:val="ListBullet"/>
      </w:pPr>
      <w:r>
        <w:t>How exactly do you define the boundary between technical and mobilisable potential — and how do you handle competing uses and seasonality?</w:t>
      </w:r>
    </w:p>
    <w:p>
      <w:pPr>
        <w:pStyle w:val="ListBullet"/>
      </w:pPr>
      <w:r>
        <w:t>How is the resDB methodology validated against ground truth or plant-level data?</w:t>
      </w:r>
    </w:p>
    <w:p>
      <w:pPr>
        <w:pStyle w:val="ListBullet"/>
      </w:pPr>
      <w:r>
        <w:t>Where do you see the biggest open methodological problems in residue-potential assessment today?</w:t>
      </w:r>
    </w:p>
    <w:p>
      <w:pPr>
        <w:pStyle w:val="ListBullet"/>
      </w:pPr>
      <w:r>
        <w:t>How do you incorporate land-use / remote-sensing change (your background) into potential estimates over time?</w:t>
      </w:r>
    </w:p>
    <w:p>
      <w:pPr>
        <w:pStyle w:val="Heading2"/>
      </w:pPr>
      <w:r>
        <w:t>Collaboration &amp; data</w:t>
      </w:r>
    </w:p>
    <w:p>
      <w:pPr>
        <w:pStyle w:val="ListBullet"/>
      </w:pPr>
      <w:r>
        <w:t>Is the resDB API openly usable for an interoperability pilot with PILAR-2b? Any constraints?</w:t>
      </w:r>
    </w:p>
    <w:p>
      <w:pPr>
        <w:pStyle w:val="ListBullet"/>
      </w:pPr>
      <w:r>
        <w:t>Would a harmonised Brazil–Germany residue taxonomy be useful to your team?</w:t>
      </w:r>
    </w:p>
    <w:p>
      <w:pPr>
        <w:pStyle w:val="ListBullet"/>
      </w:pPr>
      <w:r>
        <w:t>Which current DBFZ projects could most benefit from a São Paulo case study or an open platform like PILAR-2b?</w:t>
      </w:r>
    </w:p>
    <w:p>
      <w:pPr>
        <w:pStyle w:val="Heading2"/>
      </w:pPr>
      <w:r>
        <w:t>Post-doc &amp; logistics</w:t>
      </w:r>
    </w:p>
    <w:p>
      <w:pPr>
        <w:pStyle w:val="ListBullet"/>
      </w:pPr>
      <w:r>
        <w:t>Would your group be open to hosting an 8–12 month visiting post-doc in 2027, and who would supervise?</w:t>
      </w:r>
    </w:p>
    <w:p>
      <w:pPr>
        <w:pStyle w:val="ListBullet"/>
      </w:pPr>
      <w:r>
        <w:t>Which funding instruments have worked best for past visiting researchers from Brazil (DAAD, Humboldt, project funds)?</w:t>
      </w:r>
    </w:p>
    <w:p>
      <w:pPr>
        <w:pStyle w:val="ListBullet"/>
      </w:pPr>
      <w:r>
        <w:t>What working language is used day-to-day in the group, and what onboarding/visa support exists?</w:t>
      </w:r>
    </w:p>
    <w:p>
      <w:pPr>
        <w:pStyle w:val="ListBullet"/>
      </w:pPr>
      <w:r>
        <w:t>What would make a visiting researcher genuinely useful to your team — what should I arrive ready to contribute?</w:t>
      </w:r>
    </w:p>
    <w:p>
      <w:r>
        <w:br w:type="page"/>
      </w:r>
    </w:p>
    <w:p>
      <w:pPr>
        <w:pStyle w:val="Heading1"/>
      </w:pPr>
      <w:r>
        <w:t>11. Questions they will ask you — and your answers</w:t>
      </w:r>
    </w:p>
    <w:p>
      <w:pPr>
        <w:pBdr>
          <w:bottom w:val="single" w:sz="6" w:space="1" w:color="2E7D32"/>
        </w:pBdr>
        <w:spacing w:after="40"/>
      </w:pPr>
    </w:p>
    <w:p>
      <w:r>
        <w:rPr>
          <w:b w:val="0"/>
          <w:i w:val="0"/>
        </w:rPr>
        <w:t>Rehearse crisp, honest answers. Anticipating these is half your preparation.</w:t>
      </w:r>
    </w:p>
    <w:tbl>
      <w:tblPr>
        <w:tblStyle w:val="TableGrid"/>
        <w:tblW w:type="auto" w:w="0"/>
        <w:jc w:val="center"/>
        <w:tblLook w:firstColumn="1" w:firstRow="1" w:lastColumn="0" w:lastRow="0" w:noHBand="0" w:noVBand="1" w:val="04A0"/>
      </w:tblPr>
      <w:tblGrid>
        <w:gridCol w:w="4320"/>
        <w:gridCol w:w="4320"/>
      </w:tblGrid>
      <w:tr>
        <w:tc>
          <w:tcPr>
            <w:tcW w:type="dxa" w:w="3168"/>
            <w:shd w:val="clear" w:fill="EAF3EC"/>
          </w:tcPr>
          <w:p>
            <w:r/>
            <w:r>
              <w:rPr>
                <w:rFonts w:ascii="Calibri" w:hAnsi="Calibri"/>
                <w:b/>
                <w:color w:val="1B2A3A"/>
                <w:sz w:val="19"/>
              </w:rPr>
              <w:t>They may ask</w:t>
            </w:r>
          </w:p>
        </w:tc>
        <w:tc>
          <w:tcPr>
            <w:tcW w:type="dxa" w:w="6192"/>
            <w:shd w:val="clear" w:fill="EAF3EC"/>
          </w:tcPr>
          <w:p>
            <w:r/>
            <w:r>
              <w:rPr>
                <w:rFonts w:ascii="Calibri" w:hAnsi="Calibri"/>
                <w:b/>
                <w:color w:val="1B2A3A"/>
                <w:sz w:val="19"/>
              </w:rPr>
              <w:t>Your prepared line</w:t>
            </w:r>
          </w:p>
        </w:tc>
      </w:tr>
      <w:tr>
        <w:tc>
          <w:tcPr>
            <w:tcW w:type="dxa" w:w="3168"/>
          </w:tcPr>
          <w:p>
            <w:r/>
            <w:r>
              <w:rPr>
                <w:rFonts w:ascii="Calibri" w:hAnsi="Calibri"/>
                <w:b w:val="0"/>
                <w:sz w:val="19"/>
              </w:rPr>
              <w:t>What is PILAR-2b, in one minute?</w:t>
            </w:r>
          </w:p>
        </w:tc>
        <w:tc>
          <w:tcPr>
            <w:tcW w:type="dxa" w:w="6192"/>
          </w:tcPr>
          <w:p>
            <w:r/>
            <w:r>
              <w:rPr>
                <w:rFonts w:ascii="Calibri" w:hAnsi="Calibri"/>
                <w:b w:val="0"/>
                <w:sz w:val="19"/>
              </w:rPr>
              <w:t>An open-source geospatial platform that maps mobilisable biogas/bioproduct potential from agricultural, livestock and urban residues across all 645 São Paulo municipalities — from raw data to investment-relevant outputs in the browser.</w:t>
            </w:r>
          </w:p>
        </w:tc>
      </w:tr>
      <w:tr>
        <w:tc>
          <w:tcPr>
            <w:tcW w:type="dxa" w:w="3168"/>
            <w:shd w:val="clear" w:fill="F4F8F5"/>
          </w:tcPr>
          <w:p>
            <w:r/>
            <w:r>
              <w:rPr>
                <w:rFonts w:ascii="Calibri" w:hAnsi="Calibri"/>
                <w:b w:val="0"/>
                <w:sz w:val="19"/>
              </w:rPr>
              <w:t>What’s genuinely novel about it?</w:t>
            </w:r>
          </w:p>
        </w:tc>
        <w:tc>
          <w:tcPr>
            <w:tcW w:type="dxa" w:w="6192"/>
            <w:shd w:val="clear" w:fill="F4F8F5"/>
          </w:tcPr>
          <w:p>
            <w:r/>
            <w:r>
              <w:rPr>
                <w:rFonts w:ascii="Calibri" w:hAnsi="Calibri"/>
                <w:b w:val="0"/>
                <w:sz w:val="19"/>
              </w:rPr>
              <w:t>The FDE method: it decomposes theoretical potential into mobilisable potential through explicit, source-attributed factors (collection, competing uses, seasonality, logistics) — transparent and replicable, not a black box.</w:t>
            </w:r>
          </w:p>
        </w:tc>
      </w:tr>
      <w:tr>
        <w:tc>
          <w:tcPr>
            <w:tcW w:type="dxa" w:w="3168"/>
          </w:tcPr>
          <w:p>
            <w:r/>
            <w:r>
              <w:rPr>
                <w:rFonts w:ascii="Calibri" w:hAnsi="Calibri"/>
                <w:b w:val="0"/>
                <w:sz w:val="19"/>
              </w:rPr>
              <w:t>How is it different from resDB?</w:t>
            </w:r>
          </w:p>
        </w:tc>
        <w:tc>
          <w:tcPr>
            <w:tcW w:type="dxa" w:w="6192"/>
          </w:tcPr>
          <w:p>
            <w:r/>
            <w:r>
              <w:rPr>
                <w:rFonts w:ascii="Calibri" w:hAnsi="Calibri"/>
                <w:b w:val="0"/>
                <w:sz w:val="19"/>
              </w:rPr>
              <w:t>Same backbone, different geography and an explicit factor-based mobilisation step. They’re complementary — which is exactly why integrating them is interesting.</w:t>
            </w:r>
          </w:p>
        </w:tc>
      </w:tr>
      <w:tr>
        <w:tc>
          <w:tcPr>
            <w:tcW w:type="dxa" w:w="3168"/>
            <w:shd w:val="clear" w:fill="F4F8F5"/>
          </w:tcPr>
          <w:p>
            <w:r/>
            <w:r>
              <w:rPr>
                <w:rFonts w:ascii="Calibri" w:hAnsi="Calibri"/>
                <w:b w:val="0"/>
                <w:sz w:val="19"/>
              </w:rPr>
              <w:t>Who funds and owns it?</w:t>
            </w:r>
          </w:p>
        </w:tc>
        <w:tc>
          <w:tcPr>
            <w:tcW w:type="dxa" w:w="6192"/>
            <w:shd w:val="clear" w:fill="F4F8F5"/>
          </w:tcPr>
          <w:p>
            <w:r/>
            <w:r>
              <w:rPr>
                <w:rFonts w:ascii="Calibri" w:hAnsi="Calibri"/>
                <w:b w:val="0"/>
                <w:sz w:val="19"/>
              </w:rPr>
              <w:t>FAPESP (2024/01112-1, CP2Bsd), developed at NIPE-UNICAMP, INPI-registered, GPL-3.0 open-source.</w:t>
            </w:r>
          </w:p>
        </w:tc>
      </w:tr>
      <w:tr>
        <w:tc>
          <w:tcPr>
            <w:tcW w:type="dxa" w:w="3168"/>
          </w:tcPr>
          <w:p>
            <w:r/>
            <w:r>
              <w:rPr>
                <w:rFonts w:ascii="Calibri" w:hAnsi="Calibri"/>
                <w:b w:val="0"/>
                <w:sz w:val="19"/>
              </w:rPr>
              <w:t>What would you actually do here for 8–12 months?</w:t>
            </w:r>
          </w:p>
        </w:tc>
        <w:tc>
          <w:tcPr>
            <w:tcW w:type="dxa" w:w="6192"/>
          </w:tcPr>
          <w:p>
            <w:r/>
            <w:r>
              <w:rPr>
                <w:rFonts w:ascii="Calibri" w:hAnsi="Calibri"/>
                <w:b w:val="0"/>
                <w:sz w:val="19"/>
              </w:rPr>
              <w:t>Deliver a harmonised data model + a working PILAR-2b↔resDB integration + a joint method paper + an MCDA siting module — see the draft project outline.</w:t>
            </w:r>
          </w:p>
        </w:tc>
      </w:tr>
      <w:tr>
        <w:tc>
          <w:tcPr>
            <w:tcW w:type="dxa" w:w="3168"/>
            <w:shd w:val="clear" w:fill="F4F8F5"/>
          </w:tcPr>
          <w:p>
            <w:r/>
            <w:r>
              <w:rPr>
                <w:rFonts w:ascii="Calibri" w:hAnsi="Calibri"/>
                <w:b w:val="0"/>
                <w:sz w:val="19"/>
              </w:rPr>
              <w:t>What do you need from us?</w:t>
            </w:r>
          </w:p>
        </w:tc>
        <w:tc>
          <w:tcPr>
            <w:tcW w:type="dxa" w:w="6192"/>
            <w:shd w:val="clear" w:fill="F4F8F5"/>
          </w:tcPr>
          <w:p>
            <w:r/>
            <w:r>
              <w:rPr>
                <w:rFonts w:ascii="Calibri" w:hAnsi="Calibri"/>
                <w:b w:val="0"/>
                <w:sz w:val="19"/>
              </w:rPr>
              <w:t>Supervision, data/method access, and a host letter for the funding application — I aim to bring (or co-apply for) the funding myself.</w:t>
            </w:r>
          </w:p>
        </w:tc>
      </w:tr>
      <w:tr>
        <w:tc>
          <w:tcPr>
            <w:tcW w:type="dxa" w:w="3168"/>
          </w:tcPr>
          <w:p>
            <w:r/>
            <w:r>
              <w:rPr>
                <w:rFonts w:ascii="Calibri" w:hAnsi="Calibri"/>
                <w:b w:val="0"/>
                <w:sz w:val="19"/>
              </w:rPr>
              <w:t>What’s your technical level?</w:t>
            </w:r>
          </w:p>
        </w:tc>
        <w:tc>
          <w:tcPr>
            <w:tcW w:type="dxa" w:w="6192"/>
          </w:tcPr>
          <w:p>
            <w:r/>
            <w:r>
              <w:rPr>
                <w:rFonts w:ascii="Calibri" w:hAnsi="Calibri"/>
                <w:b w:val="0"/>
                <w:sz w:val="19"/>
              </w:rPr>
              <w:t>Full-stack: FastAPI + PostGIS backend, Next.js/React-Leaflet frontend, APIs, geoprocessing, plus IO economic and Sankey modelling — I build and integrate, not only analyse.</w:t>
            </w:r>
          </w:p>
        </w:tc>
      </w:tr>
    </w:tbl>
    <w:p>
      <w:r>
        <w:br w:type="page"/>
      </w:r>
    </w:p>
    <w:p>
      <w:pPr>
        <w:pStyle w:val="Heading1"/>
      </w:pPr>
      <w:r>
        <w:t>12. What to prepare and bring (checklist)</w:t>
      </w:r>
    </w:p>
    <w:p>
      <w:pPr>
        <w:pBdr>
          <w:bottom w:val="single" w:sz="6" w:space="1" w:color="2E7D32"/>
        </w:pBdr>
        <w:spacing w:after="40"/>
      </w:pPr>
    </w:p>
    <w:p>
      <w:pPr>
        <w:pStyle w:val="Heading2"/>
      </w:pPr>
      <w:r>
        <w:t>Materials to prepare in advance</w:t>
      </w:r>
    </w:p>
    <w:p>
      <w:pPr>
        <w:pStyle w:val="ListBullet"/>
      </w:pPr>
      <w:r>
        <w:t>A tight 15–20 min PILAR-2b demo (with an offline fallback recording/screenshots).</w:t>
      </w:r>
    </w:p>
    <w:p>
      <w:pPr>
        <w:pStyle w:val="ListBullet"/>
      </w:pPr>
      <w:r>
        <w:t>A one-page collaboration concept note (Appendix A) — printed + PDF.</w:t>
      </w:r>
    </w:p>
    <w:p>
      <w:pPr>
        <w:pStyle w:val="ListBullet"/>
      </w:pPr>
      <w:r>
        <w:t>The PILAR-2b ↔ DBFZ mapping table (Section 5) printed as a leave-behind one-pager.</w:t>
      </w:r>
    </w:p>
    <w:p>
      <w:pPr>
        <w:pStyle w:val="ListBullet"/>
      </w:pPr>
      <w:r>
        <w:t>A 2–3 slide “about me / about PILAR-2b” mini-deck (English).</w:t>
      </w:r>
    </w:p>
    <w:p>
      <w:pPr>
        <w:pStyle w:val="ListBullet"/>
      </w:pPr>
      <w:r>
        <w:t>Updated CV / short academic bio (English) + ORCID / Lattes link.</w:t>
      </w:r>
    </w:p>
    <w:p>
      <w:pPr>
        <w:pStyle w:val="ListBullet"/>
      </w:pPr>
      <w:r>
        <w:t>Draft post-doc research outline (Appendix B), 1 page.</w:t>
      </w:r>
    </w:p>
    <w:p>
      <w:pPr>
        <w:pStyle w:val="ListBullet"/>
      </w:pPr>
      <w:r>
        <w:t>API docs + sample datasets on a USB stick and in cloud storage.</w:t>
      </w:r>
    </w:p>
    <w:p>
      <w:pPr>
        <w:pStyle w:val="ListBullet"/>
      </w:pPr>
      <w:r>
        <w:t>Business cards (with QR to the live platform &amp; repo).</w:t>
      </w:r>
    </w:p>
    <w:p>
      <w:pPr>
        <w:pStyle w:val="Heading2"/>
      </w:pPr>
      <w:r>
        <w:t>Logistics to sort before flying</w:t>
      </w:r>
    </w:p>
    <w:p>
      <w:pPr>
        <w:pStyle w:val="ListBullet"/>
      </w:pPr>
      <w:r>
        <w:t>Confirm meeting dates, location (Leipzig HQ vs. other site), and attendee list.</w:t>
      </w:r>
    </w:p>
    <w:p>
      <w:pPr>
        <w:pStyle w:val="ListBullet"/>
      </w:pPr>
      <w:r>
        <w:t>Confirm the funding instrument you will name (FAPESP BEPE / DAAD / Humboldt) with your PI.</w:t>
      </w:r>
    </w:p>
    <w:p>
      <w:pPr>
        <w:pStyle w:val="ListBullet"/>
      </w:pPr>
      <w:r>
        <w:t>Check passport validity and Schengen entry requirements for your trip dates.</w:t>
      </w:r>
    </w:p>
    <w:p>
      <w:pPr>
        <w:pStyle w:val="ListBullet"/>
      </w:pPr>
      <w:r>
        <w:t>Travel &amp; accommodation in Leipzig; route to DBFZ (Torgauer Straße 116).</w:t>
      </w:r>
    </w:p>
    <w:p>
      <w:pPr>
        <w:pStyle w:val="ListBullet"/>
      </w:pPr>
      <w:r>
        <w:t>Letter/email of introduction from your PI or NIPE, if appropriate.</w:t>
      </w:r>
    </w:p>
    <w:p>
      <w:pPr>
        <w:pStyle w:val="ListBullet"/>
      </w:pPr>
      <w:r>
        <w:t>Test your demo on the actual laptop you will bring; prepare a mobile hotspot.</w:t>
      </w:r>
    </w:p>
    <w:p>
      <w:pPr>
        <w:pStyle w:val="Heading2"/>
      </w:pPr>
      <w:r>
        <w:t>Personal / soft preparation</w:t>
      </w:r>
    </w:p>
    <w:p>
      <w:pPr>
        <w:pStyle w:val="ListBullet"/>
      </w:pPr>
      <w:r>
        <w:t>Rehearse the elevator pitch (Appendix C) until it’s effortless.</w:t>
      </w:r>
    </w:p>
    <w:p>
      <w:pPr>
        <w:pStyle w:val="ListBullet"/>
      </w:pPr>
      <w:r>
        <w:t>Read 2–3 recent DBFZ resDB / WG Resources outputs so you can reference them.</w:t>
      </w:r>
    </w:p>
    <w:p>
      <w:pPr>
        <w:pStyle w:val="ListBullet"/>
      </w:pPr>
      <w:r>
        <w:t>Prepare 3 sincere, specific questions for Dr. Naegeli de Torres about her work.</w:t>
      </w:r>
    </w:p>
    <w:p>
      <w:pPr>
        <w:pStyle w:val="ListBullet"/>
      </w:pPr>
      <w:r>
        <w:t>Learn a few words of German courtesy; have a sentence or two of Portuguese ready in case it builds rapport.</w:t>
      </w:r>
    </w:p>
    <w:p>
      <w:r>
        <w:br w:type="page"/>
      </w:r>
    </w:p>
    <w:p>
      <w:pPr>
        <w:pStyle w:val="Heading1"/>
      </w:pPr>
      <w:r>
        <w:t>13. Logistics, language and cultural notes</w:t>
      </w:r>
    </w:p>
    <w:p>
      <w:pPr>
        <w:pBdr>
          <w:bottom w:val="single" w:sz="6" w:space="1" w:color="2E7D32"/>
        </w:pBdr>
        <w:spacing w:after="40"/>
      </w:pPr>
    </w:p>
    <w:p>
      <w:pPr>
        <w:pStyle w:val="ListBullet"/>
      </w:pPr>
      <w:r>
        <w:rPr>
          <w:b/>
        </w:rPr>
        <w:t xml:space="preserve">Location — </w:t>
      </w:r>
      <w:r>
        <w:t>DBFZ headquarters is in Leipzig (Torgauer Straße 116). Confirm whether all sessions are there.</w:t>
      </w:r>
    </w:p>
    <w:p>
      <w:pPr>
        <w:pStyle w:val="ListBullet"/>
      </w:pPr>
      <w:r>
        <w:rPr>
          <w:b/>
        </w:rPr>
        <w:t xml:space="preserve">Language — </w:t>
      </w:r>
      <w:r>
        <w:t>Working language with international partners is English; written follow-ups in English are expected and welcome.</w:t>
      </w:r>
    </w:p>
    <w:p>
      <w:pPr>
        <w:pStyle w:val="ListBullet"/>
      </w:pPr>
      <w:r>
        <w:rPr>
          <w:b/>
        </w:rPr>
        <w:t xml:space="preserve">Etiquette — </w:t>
      </w:r>
      <w:r>
        <w:t>German professional culture values punctuality, structure, directness and preparation. Arrive early, bring an agenda, follow up promptly and precisely. Substance over salesmanship.</w:t>
      </w:r>
    </w:p>
    <w:p>
      <w:pPr>
        <w:pStyle w:val="ListBullet"/>
      </w:pPr>
      <w:r>
        <w:rPr>
          <w:b/>
        </w:rPr>
        <w:t xml:space="preserve">Formality — </w:t>
      </w:r>
      <w:r>
        <w:t>Use titles (Dr. / Prof. Dr.) until invited otherwise. A firm handshake and direct eye contact are standard.</w:t>
      </w:r>
    </w:p>
    <w:p>
      <w:pPr>
        <w:pStyle w:val="ListBullet"/>
      </w:pPr>
      <w:r>
        <w:rPr>
          <w:b/>
        </w:rPr>
        <w:t xml:space="preserve">Paper still matters — </w:t>
      </w:r>
      <w:r>
        <w:t>Bring more printed leave-behinds than you think you need; Germans often value a tangible document.</w:t>
      </w:r>
    </w:p>
    <w:p>
      <w:pPr>
        <w:pStyle w:val="ListBullet"/>
      </w:pPr>
      <w:r>
        <w:rPr>
          <w:b/>
        </w:rPr>
        <w:t xml:space="preserve">Practicalities — </w:t>
      </w:r>
      <w:r>
        <w:t>June 2026: pleasant weather, but bring smart-casual/business attire for meetings and comfortable shoes for the facility tour.</w:t>
      </w:r>
    </w:p>
    <w:p>
      <w:pPr>
        <w:pStyle w:val="Heading1"/>
      </w:pPr>
      <w:r>
        <w:t>14. Follow-up plan (the 30 days after)</w:t>
      </w:r>
    </w:p>
    <w:p>
      <w:pPr>
        <w:pBdr>
          <w:bottom w:val="single" w:sz="6" w:space="1" w:color="2E7D32"/>
        </w:pBdr>
        <w:spacing w:after="40"/>
      </w:pPr>
    </w:p>
    <w:p>
      <w:pPr>
        <w:pStyle w:val="ListNumber"/>
      </w:pPr>
      <w:r>
        <w:rPr>
          <w:b/>
        </w:rPr>
        <w:t xml:space="preserve">Within 48 hours — </w:t>
      </w:r>
      <w:r>
        <w:t>send a thank-you email to each person met, with the agreed action list and any promised materials/data.</w:t>
      </w:r>
    </w:p>
    <w:p>
      <w:pPr>
        <w:pStyle w:val="ListNumber"/>
      </w:pPr>
      <w:r>
        <w:rPr>
          <w:b/>
        </w:rPr>
        <w:t xml:space="preserve">Within 2 weeks — </w:t>
      </w:r>
      <w:r>
        <w:t>deliver the first quick win (e.g. share the harmonised-schema draft or the API pilot repo) to prove momentum.</w:t>
      </w:r>
    </w:p>
    <w:p>
      <w:pPr>
        <w:pStyle w:val="ListNumber"/>
      </w:pPr>
      <w:r>
        <w:rPr>
          <w:b/>
        </w:rPr>
        <w:t xml:space="preserve">Within 1 month — </w:t>
      </w:r>
      <w:r>
        <w:t>circulate a short joint outline (method note or conference abstract) and propose the post-doc funding-application timeline.</w:t>
      </w:r>
    </w:p>
    <w:p>
      <w:pPr>
        <w:pStyle w:val="ListNumber"/>
      </w:pPr>
      <w:r>
        <w:rPr>
          <w:b/>
        </w:rPr>
        <w:t xml:space="preserve">Ongoing — </w:t>
      </w:r>
      <w:r>
        <w:t>keep a shared document of decisions and next steps; quiet collaborations die — visible momentum gets funded.</w:t>
      </w:r>
    </w:p>
    <w:tbl>
      <w:tblPr>
        <w:tblStyle w:val="TableGrid"/>
        <w:tblW w:type="auto" w:w="0"/>
        <w:tblLook w:firstColumn="1" w:firstRow="1" w:lastColumn="0" w:lastRow="0" w:noHBand="0" w:noVBand="1" w:val="04A0"/>
      </w:tblPr>
      <w:tblGrid>
        <w:gridCol w:w="8640"/>
      </w:tblGrid>
      <w:tr>
        <w:tc>
          <w:tcPr>
            <w:tcW w:type="dxa" w:w="8640"/>
            <w:shd w:val="clear" w:fill="EAF3EC"/>
          </w:tcPr>
          <w:p>
            <w:r/>
            <w:r>
              <w:rPr>
                <w:b/>
                <w:color w:val="2E7D32"/>
                <w:sz w:val="21"/>
              </w:rPr>
              <w:t>The principle behind the whole trip</w:t>
            </w:r>
          </w:p>
          <w:p>
            <w:pPr>
              <w:spacing w:before="40"/>
            </w:pPr>
            <w:r>
              <w:rPr>
                <w:sz w:val="20"/>
              </w:rPr>
              <w:t>You are not asking DBFZ for a favour. You are offering a peer institution a ready-made platform, a novel method, a new geography, and a motivated builder — and proposing that the post-doc is simply the most efficient way to capture that shared value. Lead with the collaboration; the internship follows.</w:t>
            </w:r>
          </w:p>
        </w:tc>
      </w:tr>
    </w:tbl>
    <w:p>
      <w:pPr>
        <w:spacing w:after="40"/>
      </w:pPr>
    </w:p>
    <w:p>
      <w:r>
        <w:br w:type="page"/>
      </w:r>
    </w:p>
    <w:p>
      <w:pPr>
        <w:pStyle w:val="Heading1"/>
      </w:pPr>
      <w:r>
        <w:t>Appendix A — One-page collaboration concept note (draft)</w:t>
      </w:r>
    </w:p>
    <w:p>
      <w:pPr>
        <w:pBdr>
          <w:bottom w:val="single" w:sz="6" w:space="1" w:color="2E7D32"/>
        </w:pBdr>
        <w:spacing w:after="40"/>
      </w:pPr>
    </w:p>
    <w:p>
      <w:r>
        <w:rPr>
          <w:b w:val="0"/>
          <w:i/>
          <w:color w:val="555F6B"/>
        </w:rPr>
        <w:t>Draft text you can adapt into a printed leave-behind or an email.</w:t>
      </w:r>
    </w:p>
    <w:p>
      <w:r>
        <w:rPr>
          <w:b/>
          <w:i w:val="0"/>
          <w:color w:val="1B2A3A"/>
          <w:sz w:val="24"/>
        </w:rPr>
        <w:t>UNICAMP (NIPE / CP2B) — DBFZ collaboration concept</w:t>
      </w:r>
    </w:p>
    <w:p>
      <w:r>
        <w:rPr>
          <w:b/>
          <w:i w:val="0"/>
        </w:rPr>
        <w:t xml:space="preserve">Context. </w:t>
      </w:r>
      <w:r>
        <w:rPr>
          <w:b w:val="0"/>
          <w:i w:val="0"/>
        </w:rPr>
        <w:t>The DBFZ Resource Database provides Germany’s national, open monitoring of biomass potentials. PILAR-2b, developed at NIPE-UNICAMP and funded by FAPESP, provides an equivalent open platform for the State of São Paulo, adding an explicit feedstock-dependent efficiency (FDE) method to estimate mobilisable potential. The two systems share a scientific backbone and complementary geographies.</w:t>
      </w:r>
    </w:p>
    <w:p>
      <w:r>
        <w:rPr>
          <w:b/>
          <w:i w:val="0"/>
        </w:rPr>
        <w:t xml:space="preserve">Proposal. </w:t>
      </w:r>
      <w:r>
        <w:rPr>
          <w:b w:val="0"/>
          <w:i w:val="0"/>
        </w:rPr>
        <w:t>Establish a UNICAMP–DBFZ collaboration to (1) harmonise residue taxonomies and potential definitions; (2) demonstrate PILAR-2b ↔ resDB data/API interoperability; (3) co-develop a spatial decision-support (MCDA) layer for biogas-plant siting; and (4) co-author a method paper comparing the DBFZ potential cascade with the FDE approach.</w:t>
      </w:r>
    </w:p>
    <w:p>
      <w:r>
        <w:rPr>
          <w:b/>
          <w:i w:val="0"/>
        </w:rPr>
        <w:t xml:space="preserve">Vehicle. </w:t>
      </w:r>
      <w:r>
        <w:rPr>
          <w:b w:val="0"/>
          <w:i w:val="0"/>
        </w:rPr>
        <w:t>An 8–12 month post-doctoral research internship at DBFZ in 2027 (funding to be secured via FAPESP BEPE / DAAD / Humboldt), delivering the integration and the joint paper, and seeding a follow-on bilateral grant proposal.</w:t>
      </w:r>
    </w:p>
    <w:p>
      <w:r>
        <w:rPr>
          <w:b/>
          <w:i w:val="0"/>
        </w:rPr>
        <w:t xml:space="preserve">Mutual benefit. </w:t>
      </w:r>
      <w:r>
        <w:rPr>
          <w:b w:val="0"/>
          <w:i w:val="0"/>
        </w:rPr>
        <w:t>DBFZ extends its Latin-America strategy to São Paulo with a ready open platform and a builder; UNICAMP gains methodological alignment with a world reference and an international post-doc placement.</w:t>
      </w:r>
    </w:p>
    <w:p>
      <w:r>
        <w:rPr>
          <w:b/>
          <w:i w:val="0"/>
        </w:rPr>
        <w:t xml:space="preserve">Contact. </w:t>
      </w:r>
      <w:r>
        <w:rPr>
          <w:b w:val="0"/>
          <w:i w:val="0"/>
        </w:rPr>
        <w:t>Lucas Nakamura Cerejo — NIPE-UNICAMP / CP2B — lucasnc@unicamp.br — live platform: cp2b.unicamp.br/pilar2b — code: github.com/aikiesan/Pilar-2b</w:t>
      </w:r>
    </w:p>
    <w:p>
      <w:r>
        <w:br w:type="page"/>
      </w:r>
    </w:p>
    <w:p>
      <w:pPr>
        <w:pStyle w:val="Heading1"/>
      </w:pPr>
      <w:r>
        <w:t>Appendix B — Draft post-doc research outline</w:t>
      </w:r>
    </w:p>
    <w:p>
      <w:pPr>
        <w:pBdr>
          <w:bottom w:val="single" w:sz="6" w:space="1" w:color="2E7D32"/>
        </w:pBdr>
        <w:spacing w:after="40"/>
      </w:pPr>
    </w:p>
    <w:p>
      <w:r>
        <w:rPr>
          <w:b/>
          <w:i w:val="0"/>
          <w:color w:val="1B2A3A"/>
        </w:rPr>
        <w:t>Title (working)</w:t>
      </w:r>
    </w:p>
    <w:p>
      <w:r>
        <w:rPr>
          <w:b w:val="0"/>
          <w:i w:val="0"/>
        </w:rPr>
        <w:t>Harmonised, mobilisable biomass-potential assessment and spatial decision support: a Brazil–Germany comparison.</w:t>
      </w:r>
    </w:p>
    <w:p>
      <w:r>
        <w:rPr>
          <w:b/>
          <w:i w:val="0"/>
          <w:color w:val="1B2A3A"/>
        </w:rPr>
        <w:t>Problem</w:t>
      </w:r>
    </w:p>
    <w:p>
      <w:r>
        <w:rPr>
          <w:b w:val="0"/>
          <w:i w:val="0"/>
        </w:rPr>
        <w:t>Biomass-potential estimates are hard to compare across countries because residue taxonomies, parameters and the theoretical→mobilisable step differ. This blocks cross-border learning and policy transfer.</w:t>
      </w:r>
    </w:p>
    <w:p>
      <w:r>
        <w:rPr>
          <w:b/>
          <w:i w:val="0"/>
          <w:color w:val="1B2A3A"/>
        </w:rPr>
        <w:t>Objectives</w:t>
      </w:r>
    </w:p>
    <w:p>
      <w:pPr>
        <w:pStyle w:val="ListNumber"/>
      </w:pPr>
      <w:r>
        <w:t>harmonise residue taxonomies and BMP/VS/TS parameter definitions between resDB and PILAR-2b;</w:t>
      </w:r>
    </w:p>
    <w:p>
      <w:pPr>
        <w:pStyle w:val="ListNumber"/>
      </w:pPr>
      <w:r>
        <w:t>formally map the FDE correction factors onto the DBFZ theoretical→technical→mobilisable cascade;</w:t>
      </w:r>
    </w:p>
    <w:p>
      <w:pPr>
        <w:pStyle w:val="ListNumber"/>
      </w:pPr>
      <w:r>
        <w:t>build a working PILAR-2b ↔ resDB interoperability demonstrator (shared APIs / data model);</w:t>
      </w:r>
    </w:p>
    <w:p>
      <w:pPr>
        <w:pStyle w:val="ListNumber"/>
      </w:pPr>
      <w:r>
        <w:t>co-develop an MCDA spatial decision-support layer for biogas-plant siting;</w:t>
      </w:r>
    </w:p>
    <w:p>
      <w:pPr>
        <w:pStyle w:val="ListNumber"/>
      </w:pPr>
      <w:r>
        <w:t>produce a harmonised Brazil (São Paulo) vs Germany comparison on selected feedstocks (e.g. sugarcane/vinasse, cattle manure).</w:t>
      </w:r>
    </w:p>
    <w:p>
      <w:r>
        <w:rPr>
          <w:b/>
          <w:i w:val="0"/>
          <w:color w:val="1B2A3A"/>
        </w:rPr>
        <w:t>Methods</w:t>
      </w:r>
    </w:p>
    <w:p>
      <w:r>
        <w:rPr>
          <w:b w:val="0"/>
          <w:i w:val="0"/>
        </w:rPr>
        <w:t>GIS &amp; geoprocessing (PostGIS, GeoPandas), API integration, potential-cascade modelling, multi-criteria decision analysis, open-data publication (Zenodo DOIs).</w:t>
      </w:r>
    </w:p>
    <w:p>
      <w:r>
        <w:rPr>
          <w:b/>
          <w:i w:val="0"/>
          <w:color w:val="1B2A3A"/>
        </w:rPr>
        <w:t>Deliverables</w:t>
      </w:r>
    </w:p>
    <w:p>
      <w:pPr>
        <w:pStyle w:val="ListBullet"/>
      </w:pPr>
      <w:r>
        <w:t>a harmonised data-model specification &amp; crosswalk;</w:t>
      </w:r>
    </w:p>
    <w:p>
      <w:pPr>
        <w:pStyle w:val="ListBullet"/>
      </w:pPr>
      <w:r>
        <w:t>a peer-reviewed method paper (FDE ↔ DBFZ cascade);</w:t>
      </w:r>
    </w:p>
    <w:p>
      <w:pPr>
        <w:pStyle w:val="ListBullet"/>
      </w:pPr>
      <w:r>
        <w:t>an open interoperability demonstrator + documentation;</w:t>
      </w:r>
    </w:p>
    <w:p>
      <w:pPr>
        <w:pStyle w:val="ListBullet"/>
      </w:pPr>
      <w:r>
        <w:t>an MCDA siting module integrated in PILAR-2b;</w:t>
      </w:r>
    </w:p>
    <w:p>
      <w:pPr>
        <w:pStyle w:val="ListBullet"/>
      </w:pPr>
      <w:r>
        <w:t>a concept note for a follow-on FAPESP–DFG / BMBF bilateral grant.</w:t>
      </w:r>
    </w:p>
    <w:p>
      <w:r>
        <w:rPr>
          <w:b/>
          <w:i w:val="0"/>
          <w:color w:val="1B2A3A"/>
        </w:rPr>
        <w:t>Timeline (8–12 months, 2027)</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fill="EAF3EC"/>
          </w:tcPr>
          <w:p>
            <w:r/>
            <w:r>
              <w:rPr>
                <w:rFonts w:ascii="Calibri" w:hAnsi="Calibri"/>
                <w:b/>
                <w:color w:val="1B2A3A"/>
                <w:sz w:val="19"/>
              </w:rPr>
              <w:t>Phase</w:t>
            </w:r>
          </w:p>
        </w:tc>
        <w:tc>
          <w:tcPr>
            <w:tcW w:type="dxa" w:w="1440"/>
            <w:shd w:val="clear" w:fill="EAF3EC"/>
          </w:tcPr>
          <w:p>
            <w:r/>
            <w:r>
              <w:rPr>
                <w:rFonts w:ascii="Calibri" w:hAnsi="Calibri"/>
                <w:b/>
                <w:color w:val="1B2A3A"/>
                <w:sz w:val="19"/>
              </w:rPr>
              <w:t>Months</w:t>
            </w:r>
          </w:p>
        </w:tc>
        <w:tc>
          <w:tcPr>
            <w:tcW w:type="dxa" w:w="4752"/>
            <w:shd w:val="clear" w:fill="EAF3EC"/>
          </w:tcPr>
          <w:p>
            <w:r/>
            <w:r>
              <w:rPr>
                <w:rFonts w:ascii="Calibri" w:hAnsi="Calibri"/>
                <w:b/>
                <w:color w:val="1B2A3A"/>
                <w:sz w:val="19"/>
              </w:rPr>
              <w:t>Focus</w:t>
            </w:r>
          </w:p>
        </w:tc>
      </w:tr>
      <w:tr>
        <w:tc>
          <w:tcPr>
            <w:tcW w:type="dxa" w:w="3168"/>
          </w:tcPr>
          <w:p>
            <w:r/>
            <w:r>
              <w:rPr>
                <w:rFonts w:ascii="Calibri" w:hAnsi="Calibri"/>
                <w:b w:val="0"/>
                <w:sz w:val="19"/>
              </w:rPr>
              <w:t>Onboarding &amp; alignment</w:t>
            </w:r>
          </w:p>
        </w:tc>
        <w:tc>
          <w:tcPr>
            <w:tcW w:type="dxa" w:w="1440"/>
          </w:tcPr>
          <w:p>
            <w:r/>
            <w:r>
              <w:rPr>
                <w:rFonts w:ascii="Calibri" w:hAnsi="Calibri"/>
                <w:b w:val="0"/>
                <w:sz w:val="19"/>
              </w:rPr>
              <w:t>1–2</w:t>
            </w:r>
          </w:p>
        </w:tc>
        <w:tc>
          <w:tcPr>
            <w:tcW w:type="dxa" w:w="4752"/>
          </w:tcPr>
          <w:p>
            <w:r/>
            <w:r>
              <w:rPr>
                <w:rFonts w:ascii="Calibri" w:hAnsi="Calibri"/>
                <w:b w:val="0"/>
                <w:sz w:val="19"/>
              </w:rPr>
              <w:t>Method deep-dive; data access; finalise scope</w:t>
            </w:r>
          </w:p>
        </w:tc>
      </w:tr>
      <w:tr>
        <w:tc>
          <w:tcPr>
            <w:tcW w:type="dxa" w:w="3168"/>
            <w:shd w:val="clear" w:fill="F4F8F5"/>
          </w:tcPr>
          <w:p>
            <w:r/>
            <w:r>
              <w:rPr>
                <w:rFonts w:ascii="Calibri" w:hAnsi="Calibri"/>
                <w:b w:val="0"/>
                <w:sz w:val="19"/>
              </w:rPr>
              <w:t>Harmonisation</w:t>
            </w:r>
          </w:p>
        </w:tc>
        <w:tc>
          <w:tcPr>
            <w:tcW w:type="dxa" w:w="1440"/>
            <w:shd w:val="clear" w:fill="F4F8F5"/>
          </w:tcPr>
          <w:p>
            <w:r/>
            <w:r>
              <w:rPr>
                <w:rFonts w:ascii="Calibri" w:hAnsi="Calibri"/>
                <w:b w:val="0"/>
                <w:sz w:val="19"/>
              </w:rPr>
              <w:t>3–5</w:t>
            </w:r>
          </w:p>
        </w:tc>
        <w:tc>
          <w:tcPr>
            <w:tcW w:type="dxa" w:w="4752"/>
            <w:shd w:val="clear" w:fill="F4F8F5"/>
          </w:tcPr>
          <w:p>
            <w:r/>
            <w:r>
              <w:rPr>
                <w:rFonts w:ascii="Calibri" w:hAnsi="Calibri"/>
                <w:b w:val="0"/>
                <w:sz w:val="19"/>
              </w:rPr>
              <w:t>Taxonomy crosswalk; parameter &amp; cascade mapping</w:t>
            </w:r>
          </w:p>
        </w:tc>
      </w:tr>
      <w:tr>
        <w:tc>
          <w:tcPr>
            <w:tcW w:type="dxa" w:w="3168"/>
          </w:tcPr>
          <w:p>
            <w:r/>
            <w:r>
              <w:rPr>
                <w:rFonts w:ascii="Calibri" w:hAnsi="Calibri"/>
                <w:b w:val="0"/>
                <w:sz w:val="19"/>
              </w:rPr>
              <w:t>Integration</w:t>
            </w:r>
          </w:p>
        </w:tc>
        <w:tc>
          <w:tcPr>
            <w:tcW w:type="dxa" w:w="1440"/>
          </w:tcPr>
          <w:p>
            <w:r/>
            <w:r>
              <w:rPr>
                <w:rFonts w:ascii="Calibri" w:hAnsi="Calibri"/>
                <w:b w:val="0"/>
                <w:sz w:val="19"/>
              </w:rPr>
              <w:t>5–8</w:t>
            </w:r>
          </w:p>
        </w:tc>
        <w:tc>
          <w:tcPr>
            <w:tcW w:type="dxa" w:w="4752"/>
          </w:tcPr>
          <w:p>
            <w:r/>
            <w:r>
              <w:rPr>
                <w:rFonts w:ascii="Calibri" w:hAnsi="Calibri"/>
                <w:b w:val="0"/>
                <w:sz w:val="19"/>
              </w:rPr>
              <w:t>API interoperability demonstrator; comparison runs</w:t>
            </w:r>
          </w:p>
        </w:tc>
      </w:tr>
      <w:tr>
        <w:tc>
          <w:tcPr>
            <w:tcW w:type="dxa" w:w="3168"/>
            <w:shd w:val="clear" w:fill="F4F8F5"/>
          </w:tcPr>
          <w:p>
            <w:r/>
            <w:r>
              <w:rPr>
                <w:rFonts w:ascii="Calibri" w:hAnsi="Calibri"/>
                <w:b w:val="0"/>
                <w:sz w:val="19"/>
              </w:rPr>
              <w:t>Decision support</w:t>
            </w:r>
          </w:p>
        </w:tc>
        <w:tc>
          <w:tcPr>
            <w:tcW w:type="dxa" w:w="1440"/>
            <w:shd w:val="clear" w:fill="F4F8F5"/>
          </w:tcPr>
          <w:p>
            <w:r/>
            <w:r>
              <w:rPr>
                <w:rFonts w:ascii="Calibri" w:hAnsi="Calibri"/>
                <w:b w:val="0"/>
                <w:sz w:val="19"/>
              </w:rPr>
              <w:t>8–10</w:t>
            </w:r>
          </w:p>
        </w:tc>
        <w:tc>
          <w:tcPr>
            <w:tcW w:type="dxa" w:w="4752"/>
            <w:shd w:val="clear" w:fill="F4F8F5"/>
          </w:tcPr>
          <w:p>
            <w:r/>
            <w:r>
              <w:rPr>
                <w:rFonts w:ascii="Calibri" w:hAnsi="Calibri"/>
                <w:b w:val="0"/>
                <w:sz w:val="19"/>
              </w:rPr>
              <w:t>MCDA siting module; case study</w:t>
            </w:r>
          </w:p>
        </w:tc>
      </w:tr>
      <w:tr>
        <w:tc>
          <w:tcPr>
            <w:tcW w:type="dxa" w:w="3168"/>
          </w:tcPr>
          <w:p>
            <w:r/>
            <w:r>
              <w:rPr>
                <w:rFonts w:ascii="Calibri" w:hAnsi="Calibri"/>
                <w:b w:val="0"/>
                <w:sz w:val="19"/>
              </w:rPr>
              <w:t>Writing &amp; next grant</w:t>
            </w:r>
          </w:p>
        </w:tc>
        <w:tc>
          <w:tcPr>
            <w:tcW w:type="dxa" w:w="1440"/>
          </w:tcPr>
          <w:p>
            <w:r/>
            <w:r>
              <w:rPr>
                <w:rFonts w:ascii="Calibri" w:hAnsi="Calibri"/>
                <w:b w:val="0"/>
                <w:sz w:val="19"/>
              </w:rPr>
              <w:t>10–12</w:t>
            </w:r>
          </w:p>
        </w:tc>
        <w:tc>
          <w:tcPr>
            <w:tcW w:type="dxa" w:w="4752"/>
          </w:tcPr>
          <w:p>
            <w:r/>
            <w:r>
              <w:rPr>
                <w:rFonts w:ascii="Calibri" w:hAnsi="Calibri"/>
                <w:b w:val="0"/>
                <w:sz w:val="19"/>
              </w:rPr>
              <w:t>Method paper; bilateral-grant concept note</w:t>
            </w:r>
          </w:p>
        </w:tc>
      </w:tr>
    </w:tbl>
    <w:p>
      <w:r>
        <w:br w:type="page"/>
      </w:r>
    </w:p>
    <w:p>
      <w:pPr>
        <w:pStyle w:val="Heading1"/>
      </w:pPr>
      <w:r>
        <w:t>Appendix C — Elevator pitch &amp; key talking points</w:t>
      </w:r>
    </w:p>
    <w:p>
      <w:pPr>
        <w:pBdr>
          <w:bottom w:val="single" w:sz="6" w:space="1" w:color="2E7D32"/>
        </w:pBdr>
        <w:spacing w:after="40"/>
      </w:pPr>
    </w:p>
    <w:p>
      <w:r>
        <w:rPr>
          <w:b/>
          <w:i w:val="0"/>
          <w:color w:val="1B2A3A"/>
        </w:rPr>
        <w:t>30-second pitch</w:t>
      </w:r>
    </w:p>
    <w:p>
      <w:r>
        <w:rPr>
          <w:b w:val="0"/>
          <w:i/>
        </w:rPr>
        <w:t>“I’m Lucas, from NIPE-UNICAMP in Brazil. I built PILAR-2b — an open-source platform that maps mobilisable biogas potential from residues across all 645 municipalities of São Paulo. It’s essentially the São Paulo counterpart of your Resource Database, with an added method — the FDE — for getting from theoretical to mobilisable potential. I’m here because integrating the two could give us a harmonised Brazil–Germany picture, and I’d love to explore doing that with your group.”</w:t>
      </w:r>
    </w:p>
    <w:p>
      <w:r>
        <w:rPr>
          <w:b/>
          <w:i w:val="0"/>
          <w:color w:val="1B2A3A"/>
        </w:rPr>
        <w:t>Three messages to repeat</w:t>
      </w:r>
    </w:p>
    <w:p>
      <w:pPr>
        <w:pStyle w:val="ListNumber"/>
      </w:pPr>
      <w:r>
        <w:t>Same backbone, complementary geographies — PILAR-2b and resDB are natural partners, not competitors.</w:t>
      </w:r>
    </w:p>
    <w:p>
      <w:pPr>
        <w:pStyle w:val="ListNumber"/>
      </w:pPr>
      <w:r>
        <w:t>The FDE method is a real, transparent contribution to the theoretical→mobilisable step.</w:t>
      </w:r>
    </w:p>
    <w:p>
      <w:pPr>
        <w:pStyle w:val="ListNumber"/>
      </w:pPr>
      <w:r>
        <w:t>I build and integrate — a hosted post-doc would produce working software and a joint paper, not just analysis.</w:t>
      </w:r>
    </w:p>
    <w:p>
      <w:r>
        <w:rPr>
          <w:b/>
          <w:i w:val="0"/>
          <w:color w:val="1B2A3A"/>
        </w:rPr>
        <w:t>Three things to avoid</w:t>
      </w:r>
    </w:p>
    <w:p>
      <w:pPr>
        <w:pStyle w:val="ListBullet"/>
      </w:pPr>
      <w:r>
        <w:t>Leading with the post-doc request before establishing mutual value.</w:t>
      </w:r>
    </w:p>
    <w:p>
      <w:pPr>
        <w:pStyle w:val="ListBullet"/>
      </w:pPr>
      <w:r>
        <w:t>Overselling — be precise about what PILAR-2b does and does not yet do (e.g. MCDA is on the roadmap).</w:t>
      </w:r>
    </w:p>
    <w:p>
      <w:pPr>
        <w:pStyle w:val="ListBullet"/>
      </w:pPr>
      <w:r>
        <w:t>Vague asks — always end a topic with a concrete next step and an owner.</w:t>
      </w:r>
    </w:p>
    <w:p>
      <w:r>
        <w:br w:type="page"/>
      </w:r>
    </w:p>
    <w:p>
      <w:pPr>
        <w:pStyle w:val="Heading1"/>
      </w:pPr>
      <w:r>
        <w:t>Appendix D — Sources &amp; useful links</w:t>
      </w:r>
    </w:p>
    <w:p>
      <w:pPr>
        <w:pBdr>
          <w:bottom w:val="single" w:sz="6" w:space="1" w:color="2E7D32"/>
        </w:pBdr>
        <w:spacing w:after="40"/>
      </w:pPr>
    </w:p>
    <w:p>
      <w:r>
        <w:rPr>
          <w:b w:val="0"/>
          <w:i/>
          <w:color w:val="555F6B"/>
        </w:rPr>
        <w:t>Key references consulted in preparing this dossier (verify details live before the trip):</w:t>
      </w:r>
    </w:p>
    <w:p>
      <w:pPr>
        <w:pStyle w:val="ListBullet"/>
      </w:pPr>
      <w:r>
        <w:rPr>
          <w:b/>
          <w:sz w:val="20"/>
        </w:rPr>
        <w:t xml:space="preserve">DBFZ — Bioenergy Systems Department — </w:t>
      </w:r>
      <w:r>
        <w:rPr>
          <w:color w:val="2E7D32"/>
          <w:sz w:val="19"/>
        </w:rPr>
        <w:t>https://www.dbfz.de/en/the-dbfz/research-departments/bioenergy-systems-department</w:t>
      </w:r>
    </w:p>
    <w:p>
      <w:pPr>
        <w:pStyle w:val="ListBullet"/>
      </w:pPr>
      <w:r>
        <w:rPr>
          <w:b/>
          <w:sz w:val="20"/>
        </w:rPr>
        <w:t xml:space="preserve">DBFZ — Working Group Resources — </w:t>
      </w:r>
      <w:r>
        <w:rPr>
          <w:color w:val="2E7D32"/>
          <w:sz w:val="19"/>
        </w:rPr>
        <w:t>https://www.dbfz.de/en/working-group-resources</w:t>
      </w:r>
    </w:p>
    <w:p>
      <w:pPr>
        <w:pStyle w:val="ListBullet"/>
      </w:pPr>
      <w:r>
        <w:rPr>
          <w:b/>
          <w:sz w:val="20"/>
        </w:rPr>
        <w:t xml:space="preserve">Dr. Friederike Naegeli de Torres — DBFZ staff profile — </w:t>
      </w:r>
      <w:r>
        <w:rPr>
          <w:color w:val="2E7D32"/>
          <w:sz w:val="19"/>
        </w:rPr>
        <w:t>https://www.dbfz.de/das-dbfz/personalverzeichnis/employee/friederike-naegeli-de-torres/page/detail</w:t>
      </w:r>
    </w:p>
    <w:p>
      <w:pPr>
        <w:pStyle w:val="ListBullet"/>
      </w:pPr>
      <w:r>
        <w:rPr>
          <w:b/>
          <w:sz w:val="20"/>
        </w:rPr>
        <w:t xml:space="preserve">Dr. Friederike Naegeli de Torres — LinkedIn — </w:t>
      </w:r>
      <w:r>
        <w:rPr>
          <w:color w:val="2E7D32"/>
          <w:sz w:val="19"/>
        </w:rPr>
        <w:t>https://www.linkedin.com/in/fnaegelidetorres/</w:t>
      </w:r>
    </w:p>
    <w:p>
      <w:pPr>
        <w:pStyle w:val="ListBullet"/>
      </w:pPr>
      <w:r>
        <w:rPr>
          <w:b/>
          <w:sz w:val="20"/>
        </w:rPr>
        <w:t xml:space="preserve">DBFZ Resource Database (resDB) — DataLab — </w:t>
      </w:r>
      <w:r>
        <w:rPr>
          <w:color w:val="2E7D32"/>
          <w:sz w:val="19"/>
        </w:rPr>
        <w:t>https://datalab.dbfz.de/resdb</w:t>
      </w:r>
    </w:p>
    <w:p>
      <w:pPr>
        <w:pStyle w:val="ListBullet"/>
      </w:pPr>
      <w:r>
        <w:rPr>
          <w:b/>
          <w:sz w:val="20"/>
        </w:rPr>
        <w:t xml:space="preserve">DBFZ DataLab — OpenData — </w:t>
      </w:r>
      <w:r>
        <w:rPr>
          <w:color w:val="2E7D32"/>
          <w:sz w:val="19"/>
        </w:rPr>
        <w:t>https://datalab.dbfz.de/home/</w:t>
      </w:r>
    </w:p>
    <w:p>
      <w:pPr>
        <w:pStyle w:val="ListBullet"/>
      </w:pPr>
      <w:r>
        <w:rPr>
          <w:b/>
          <w:sz w:val="20"/>
        </w:rPr>
        <w:t xml:space="preserve">DBFZ — Country Profiles: Brazil — </w:t>
      </w:r>
      <w:r>
        <w:rPr>
          <w:color w:val="2E7D32"/>
          <w:sz w:val="19"/>
        </w:rPr>
        <w:t>https://www.dbfz.de/en/research-departments/international/country-profiles-brazil.html</w:t>
      </w:r>
    </w:p>
    <w:p>
      <w:pPr>
        <w:pStyle w:val="ListBullet"/>
      </w:pPr>
      <w:r>
        <w:rPr>
          <w:b/>
          <w:sz w:val="20"/>
        </w:rPr>
        <w:t xml:space="preserve">DBFZ — International activities — </w:t>
      </w:r>
      <w:r>
        <w:rPr>
          <w:color w:val="2E7D32"/>
          <w:sz w:val="19"/>
        </w:rPr>
        <w:t>https://www.dbfz.de/en/research/international-activities/</w:t>
      </w:r>
    </w:p>
    <w:p>
      <w:pPr>
        <w:pStyle w:val="ListBullet"/>
      </w:pPr>
      <w:r>
        <w:rPr>
          <w:b/>
          <w:sz w:val="20"/>
        </w:rPr>
        <w:t xml:space="preserve">DBFZ — Research &amp; Development — </w:t>
      </w:r>
      <w:r>
        <w:rPr>
          <w:color w:val="2E7D32"/>
          <w:sz w:val="19"/>
        </w:rPr>
        <w:t>https://www.dbfz.de/en/research/research-and-development/</w:t>
      </w:r>
    </w:p>
    <w:p>
      <w:pPr>
        <w:pStyle w:val="ListBullet"/>
      </w:pPr>
      <w:r>
        <w:rPr>
          <w:b/>
          <w:sz w:val="20"/>
        </w:rPr>
        <w:t xml:space="preserve">DBFZ Resource Database — DE-Biomass Monitor (Zenodo) — </w:t>
      </w:r>
      <w:r>
        <w:rPr>
          <w:color w:val="2E7D32"/>
          <w:sz w:val="19"/>
        </w:rPr>
        <w:t>https://zenodo.org/records/14273285</w:t>
      </w:r>
    </w:p>
    <w:p>
      <w:pPr>
        <w:pStyle w:val="ListBullet"/>
      </w:pPr>
      <w:r>
        <w:rPr>
          <w:b/>
          <w:sz w:val="20"/>
        </w:rPr>
        <w:t xml:space="preserve">PILAR-2b — live platform — </w:t>
      </w:r>
      <w:r>
        <w:rPr>
          <w:color w:val="2E7D32"/>
          <w:sz w:val="19"/>
        </w:rPr>
        <w:t>https://cp2b.unicamp.br/pilar2b/pt-BR</w:t>
      </w:r>
    </w:p>
    <w:p>
      <w:pPr>
        <w:pStyle w:val="ListBullet"/>
      </w:pPr>
      <w:r>
        <w:rPr>
          <w:b/>
          <w:sz w:val="20"/>
        </w:rPr>
        <w:t xml:space="preserve">PILAR-2b — source code — </w:t>
      </w:r>
      <w:r>
        <w:rPr>
          <w:color w:val="2E7D32"/>
          <w:sz w:val="19"/>
        </w:rPr>
        <w:t>https://github.com/aikiesan/Pilar-2b</w:t>
      </w:r>
    </w:p>
    <w:p>
      <w:pPr>
        <w:pStyle w:val="ListBullet"/>
      </w:pPr>
      <w:r>
        <w:rPr>
          <w:b/>
          <w:sz w:val="20"/>
        </w:rPr>
        <w:t xml:space="preserve">NIPE-UNICAMP / CP2B — </w:t>
      </w:r>
      <w:r>
        <w:rPr>
          <w:color w:val="2E7D32"/>
          <w:sz w:val="19"/>
        </w:rPr>
        <w:t>https://nipe.unicamp.br/cp2b</w:t>
      </w:r>
    </w:p>
    <w:p>
      <w:pPr>
        <w:spacing w:after="120"/>
      </w:pPr>
    </w:p>
    <w:p>
      <w:r>
        <w:rPr>
          <w:b w:val="0"/>
          <w:i/>
          <w:color w:val="555F6B"/>
          <w:sz w:val="18"/>
        </w:rPr>
        <w:t>Note: a few DBFZ pages block automated retrieval; confirm the latest figures, project names and Dr. Naegeli de Torres’s current title directly on the DBFZ site and LinkedIn shortly before you travel.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B"/>
        <w:sz w:val="16"/>
      </w:rPr>
      <w:t xml:space="preserve">DBFZ Trip Preparation Dossier · Lucas N. Cerejo · NIPE-UNICAMP / CP2B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2E7D32"/>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B2A3A"/>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B2A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