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color w:val="7A5C49"/>
          <w:sz w:val="24"/>
        </w:rPr>
        <w:t>PRODUTO 3 - RELATÓRIO DESCRITIVO</w:t>
        <w:br/>
      </w:r>
      <w:r>
        <w:rPr>
          <w:rFonts w:ascii="Calibri" w:hAnsi="Calibri"/>
          <w:b/>
          <w:i w:val="0"/>
          <w:color w:val="4A3B32"/>
          <w:sz w:val="40"/>
        </w:rPr>
        <w:t>Mapeamento Institucional e Base de Evidências do Projeto Maringá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66554D"/>
          <w:sz w:val="22"/>
        </w:rPr>
        <w:t>Caminhos para o Financiamento Climático em Maringá (PR) — Metodologia CCFLA/CEPAL</w:t>
        <w:br/>
        <w:t>Consultoria BRISA Soluções Ambientais | Contraparte Técnica: IPPLAM</w:t>
      </w:r>
    </w:p>
    <w:p>
      <w:pPr>
        <w:keepNext/>
        <w:spacing w:before="360" w:after="160"/>
      </w:pPr>
      <w:r>
        <w:rPr>
          <w:rFonts w:ascii="Calibri" w:hAnsi="Calibri"/>
          <w:b/>
          <w:i w:val="0"/>
          <w:color w:val="4A3B32"/>
          <w:sz w:val="30"/>
        </w:rPr>
        <w:t>1. Apresentação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C221E"/>
          <w:sz w:val="22"/>
        </w:rPr>
        <w:t>Este relatório integra o Produto 3 – Mapeamento Institucional e Base de Evidências do projeto 'Caminhos para o Financiamento Climático em Maringá', realizado em parceria com a contraparte técnica do IPPLAM e a Prefeitura Municipal de Maringá (PR).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C221E"/>
          <w:sz w:val="22"/>
        </w:rPr>
        <w:t>O documento acompanha a base tabulada padronizada em Excel (P3_Base_Mapeamento_Atores_Maringa.xlsx), que compila a identificação de 34 organizações prioritárias, a lista nominal de contatos focais confirmados e a análise histórica da governança no COMDEMA entre os anos de 2021 e 2026.</w:t>
      </w:r>
    </w:p>
    <w:p>
      <w:pPr>
        <w:keepNext/>
        <w:spacing w:before="360" w:after="160"/>
      </w:pPr>
      <w:r>
        <w:rPr>
          <w:rFonts w:ascii="Calibri" w:hAnsi="Calibri"/>
          <w:b/>
          <w:i w:val="0"/>
          <w:color w:val="4A3B32"/>
          <w:sz w:val="30"/>
        </w:rPr>
        <w:t>2. Objetivo do Mapeamento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C221E"/>
          <w:sz w:val="22"/>
        </w:rPr>
        <w:t>O objetivo central deste mapeamento é identificar, estruturar e qualificar os atores institucionais, órgãos públicos, setor produtivo, instituições de ensino e pesquisa, e organizações da sociedade civil cuja atuação seja relevante para a implementação de ações climáticas e atração de financiamento urbano em Maringá.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C221E"/>
          <w:sz w:val="22"/>
        </w:rPr>
        <w:t>A análise organiza os atores de acordo com as quatro dimensões analíticas da metodologia CCFLA/CEPAL: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Dimensão D1 (Planejamento e Política Climática): </w:t>
      </w:r>
      <w:r>
        <w:rPr>
          <w:rFonts w:ascii="Calibri" w:hAnsi="Calibri"/>
          <w:b w:val="0"/>
          <w:i w:val="0"/>
          <w:color w:val="2C221E"/>
          <w:sz w:val="22"/>
        </w:rPr>
        <w:t>Avaliação de quadros regulatórios, planos setoriais, legislação ambiental e metas climáticas.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Dimensão D2 (Financiamento Climático e Capacidade Fiscal): </w:t>
      </w:r>
      <w:r>
        <w:rPr>
          <w:rFonts w:ascii="Calibri" w:hAnsi="Calibri"/>
          <w:b w:val="0"/>
          <w:i w:val="0"/>
          <w:color w:val="2C221E"/>
          <w:sz w:val="22"/>
        </w:rPr>
        <w:t>Análise da saúde financeira municipal, capacidade de endividamento, execução orçamentária (PPA, LDO, LOA) e captação de recursos.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Dimensão D3 (Dados, Conhecimento e Inteligência Climática): </w:t>
      </w:r>
      <w:r>
        <w:rPr>
          <w:rFonts w:ascii="Calibri" w:hAnsi="Calibri"/>
          <w:b w:val="0"/>
          <w:i w:val="0"/>
          <w:color w:val="2C221E"/>
          <w:sz w:val="22"/>
        </w:rPr>
        <w:t>Disponibilidade de dados geoespaciais, inventários de emissões, mapeamento de riscos e pesquisas acadêmicas aplicadas.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Dimensão D4 (Governança, Participação e Articulação Institucional): </w:t>
      </w:r>
      <w:r>
        <w:rPr>
          <w:rFonts w:ascii="Calibri" w:hAnsi="Calibri"/>
          <w:b w:val="0"/>
          <w:i w:val="0"/>
          <w:color w:val="2C221E"/>
          <w:sz w:val="22"/>
        </w:rPr>
        <w:t>Mecanismos de consulta pública, conselhos municipais, articulação intersetorial e parcerias público-privadas.</w:t>
      </w:r>
    </w:p>
    <w:p>
      <w:pPr>
        <w:keepNext/>
        <w:spacing w:before="360" w:after="160"/>
      </w:pPr>
      <w:r>
        <w:rPr>
          <w:rFonts w:ascii="Calibri" w:hAnsi="Calibri"/>
          <w:b/>
          <w:i w:val="0"/>
          <w:color w:val="4A3B32"/>
          <w:sz w:val="30"/>
        </w:rPr>
        <w:t>3. Metodologia e Fontes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C221E"/>
          <w:sz w:val="22"/>
        </w:rPr>
        <w:t>O mapeamento foi conduzido por meio de pesquisa documental qualificada e busca ativa, triangulando três fontes de informação principais: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1. Lista de Atores do Poder Público: </w:t>
      </w:r>
      <w:r>
        <w:rPr>
          <w:rFonts w:ascii="Calibri" w:hAnsi="Calibri"/>
          <w:b w:val="0"/>
          <w:i w:val="0"/>
          <w:color w:val="2C221E"/>
          <w:sz w:val="22"/>
        </w:rPr>
        <w:t>Mapeamento detalhado das secretarias e autarquias municipais envolvidas na gestão territorial, orçamentária e ambiental.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2. Lista de Atores Complementares: </w:t>
      </w:r>
      <w:r>
        <w:rPr>
          <w:rFonts w:ascii="Calibri" w:hAnsi="Calibri"/>
          <w:b w:val="0"/>
          <w:i w:val="0"/>
          <w:color w:val="2C221E"/>
          <w:sz w:val="22"/>
        </w:rPr>
        <w:t>Identificação de entidades estaduais, concessionárias de serviços públicos, cooperativas agroindustriais, universidades e institutos de pesquisa.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3. Histórico do COMDEMA (2021-2026): </w:t>
      </w:r>
      <w:r>
        <w:rPr>
          <w:rFonts w:ascii="Calibri" w:hAnsi="Calibri"/>
          <w:b w:val="0"/>
          <w:i w:val="0"/>
          <w:color w:val="2C221E"/>
          <w:sz w:val="22"/>
        </w:rPr>
        <w:t>Levantamento completo dos atos de nomeação e listas de presença do Conselho Municipal de Defesa do Meio Ambiente cobrindo o período de 2021 a 2026 (128 registros analisados).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C221E"/>
          <w:sz w:val="22"/>
        </w:rPr>
        <w:t>A base documental inclui o Plano Diretor de Maringá, Leis Orçamentárias (PPA, LDO, LOA), legislações do FUNDEMA e cadastros institucionais.</w:t>
      </w:r>
    </w:p>
    <w:p>
      <w:pPr>
        <w:keepNext/>
        <w:spacing w:before="360" w:after="160"/>
      </w:pPr>
      <w:r>
        <w:rPr>
          <w:rFonts w:ascii="Calibri" w:hAnsi="Calibri"/>
          <w:b/>
          <w:i w:val="0"/>
          <w:color w:val="4A3B32"/>
          <w:sz w:val="30"/>
        </w:rPr>
        <w:t>4. Critérios de Inclusão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C221E"/>
          <w:sz w:val="22"/>
        </w:rPr>
        <w:t>Foram incluídos no mapeamento final as organizações e atores que atenderam a pelo menos um dos seguintes critérios formais: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Competência Institucional Direta: </w:t>
      </w:r>
      <w:r>
        <w:rPr>
          <w:rFonts w:ascii="Calibri" w:hAnsi="Calibri"/>
          <w:b w:val="0"/>
          <w:i w:val="0"/>
          <w:color w:val="2C221E"/>
          <w:sz w:val="22"/>
        </w:rPr>
        <w:t>Possuir atribuição legal direta sobre planejamento urbano, drenagem, mobilidade, orçamento ou regulação ambiental.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Detenção de Dados e Inteligência Climática: </w:t>
      </w:r>
      <w:r>
        <w:rPr>
          <w:rFonts w:ascii="Calibri" w:hAnsi="Calibri"/>
          <w:b w:val="0"/>
          <w:i w:val="0"/>
          <w:color w:val="2C221E"/>
          <w:sz w:val="22"/>
        </w:rPr>
        <w:t>Geração ou manutenção de bases de dados técnicas, estudos científicos e cartografia de risco (ex.: IPPLAM, UEM, IAT).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Participação na Governança Ambiental: </w:t>
      </w:r>
      <w:r>
        <w:rPr>
          <w:rFonts w:ascii="Calibri" w:hAnsi="Calibri"/>
          <w:b w:val="0"/>
          <w:i w:val="0"/>
          <w:color w:val="2C221E"/>
          <w:sz w:val="22"/>
        </w:rPr>
        <w:t>Representação institucional contínua no COMDEMA ao longo do ciclo 2021-2026.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Capacidade Executiva ou de Financiamento: </w:t>
      </w:r>
      <w:r>
        <w:rPr>
          <w:rFonts w:ascii="Calibri" w:hAnsi="Calibri"/>
          <w:b w:val="0"/>
          <w:i w:val="0"/>
          <w:color w:val="2C221E"/>
          <w:sz w:val="22"/>
        </w:rPr>
        <w:t>Capacidade de investimento, estruturação de projetos financiáveis ou mobilização do setor produtivo (cooperativas, federações, concessionárias).</w:t>
      </w:r>
    </w:p>
    <w:p>
      <w:pPr>
        <w:keepNext/>
        <w:spacing w:before="360" w:after="160"/>
      </w:pPr>
      <w:r>
        <w:rPr>
          <w:rFonts w:ascii="Calibri" w:hAnsi="Calibri"/>
          <w:b/>
          <w:i w:val="0"/>
          <w:color w:val="4A3B32"/>
          <w:sz w:val="30"/>
        </w:rPr>
        <w:t>5. Mapeamento dos Atores Organizado por Bloco (34 Organizações)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C221E"/>
          <w:sz w:val="22"/>
        </w:rPr>
        <w:t>As 34 organizações foram categorizadas em seis blocos institucionais estratégicos: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7A5C49"/>
          <w:sz w:val="26"/>
        </w:rPr>
        <w:t>5.1 Poder Público Municipal (12 Organizações)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C221E"/>
          <w:sz w:val="22"/>
        </w:rPr>
        <w:t>Compreende a administração direta e indireta responsável pela formulação de políticas públicas e execução de obras. Destaques: IPPLAM (contraparte técnica), SEMOP (obras), SEURBH (urbanismo e habitação), SEINFRA (infraestrutura), SELURB (limpeza urbana), SEGOV (governo), IAM (meio ambiente), SEFAZ (fazenda/orçamento), Defesa Civil, SEMOB (mobilidade) e Câmara Municipal (CMM). Nota: A estrutura da SEPLAN foi oficialmente incorporada pela Secretaria Municipal de Fazenda (SEFAZ).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7A5C49"/>
          <w:sz w:val="26"/>
        </w:rPr>
        <w:t>5.2 Atores Complementares e Concessionárias (2 Organizações)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C221E"/>
          <w:sz w:val="22"/>
        </w:rPr>
        <w:t>Compreende concessionárias estaduais de serviços essenciais de grande impacto ambiental: SANEPAR (saneamento básico e abastecimento de água) e COPEL (energia elétrica e distribuição).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7A5C49"/>
          <w:sz w:val="26"/>
        </w:rPr>
        <w:t>5.3 Atores Estaduais e Regionais (2 Organizações)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C221E"/>
          <w:sz w:val="22"/>
        </w:rPr>
        <w:t>Órgãos estaduais com atuação direta na gestão de recursos naturais e desenvolvimento rural no município: Instituto Água e Terra (IAT) e Instituto de Desenvolvimento Rural do Paraná (EMATER/IDR).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7A5C49"/>
          <w:sz w:val="26"/>
        </w:rPr>
        <w:t>5.4 Setor Privado e Econômico (7 Organizações)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C221E"/>
          <w:sz w:val="22"/>
        </w:rPr>
        <w:t>Entidades empresariais, cooperativas e sindicatos patronais estratégicos para transição verde e investimentos: ACIM, FIEP, CODEM, COCAMAR, INTEGRADA, Sindicato Rural de Maringá e SINDUSCON.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7A5C49"/>
          <w:sz w:val="26"/>
        </w:rPr>
        <w:t>5.5 Academia e Institutos de Pesquisa (4 Organizações)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C221E"/>
          <w:sz w:val="22"/>
        </w:rPr>
        <w:t>Instituições geradoras de dados, pesquisas e suporte científico: Universidade Estadual de Maringá (UEM - com destaque para GEMA, HUEM e Agronomia), ICETI/Unicesumar, UNIFAMMA e UNICV.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7A5C49"/>
          <w:sz w:val="26"/>
        </w:rPr>
        <w:t>5.6 Sociedade Civil e Conselhos Profissionais (6 Organizações)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C221E"/>
          <w:sz w:val="22"/>
        </w:rPr>
        <w:t>Organizações não governamentais e conselhos que asseguram controle social e rigor técnico: Instituto Funverde, Instituto Cidade Canção, Instituto BiodiverCidade, CREA, CRBio e OAB.</w:t>
      </w:r>
    </w:p>
    <w:p>
      <w:pPr>
        <w:keepNext/>
        <w:spacing w:before="360" w:after="160"/>
      </w:pPr>
      <w:r>
        <w:rPr>
          <w:rFonts w:ascii="Calibri" w:hAnsi="Calibri"/>
          <w:b/>
          <w:i w:val="0"/>
          <w:color w:val="4A3B32"/>
          <w:sz w:val="30"/>
        </w:rPr>
        <w:t>6. Governança Ambiental: Análise do COMDEMA (2021–2026)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C221E"/>
          <w:sz w:val="22"/>
        </w:rPr>
        <w:t>A análise da composição do COMDEMA no sexênio 2021-2026 revelou padrões fundamentais da governança local (Dimensão D4):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Continuidade Institucional: </w:t>
      </w:r>
      <w:r>
        <w:rPr>
          <w:rFonts w:ascii="Calibri" w:hAnsi="Calibri"/>
          <w:b w:val="0"/>
          <w:i w:val="0"/>
          <w:color w:val="2C221E"/>
          <w:sz w:val="22"/>
        </w:rPr>
        <w:t>Três instituições mantiveram assento e representantes contínuos em todos os 6 anos: SANEPAR, IAT e Procuradoria Geral do Município (PROGE), assegurando um núcleo estável de memória institucional.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Equilíbrio da Representação: </w:t>
      </w:r>
      <w:r>
        <w:rPr>
          <w:rFonts w:ascii="Calibri" w:hAnsi="Calibri"/>
          <w:b w:val="0"/>
          <w:i w:val="0"/>
          <w:color w:val="2C221E"/>
          <w:sz w:val="22"/>
        </w:rPr>
        <w:t>O setor público ocupa entre 41% e 49% das cadeiras, seguido pela Sociedade Civil (~23%), Setor Privado (~20%) e Academia (~10%).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Rotatividade de Representantes: </w:t>
      </w:r>
      <w:r>
        <w:rPr>
          <w:rFonts w:ascii="Calibri" w:hAnsi="Calibri"/>
          <w:b w:val="0"/>
          <w:i w:val="0"/>
          <w:color w:val="2C221E"/>
          <w:sz w:val="22"/>
        </w:rPr>
        <w:t>A rotatividade média dos nomes é de aproximadamente 2 anos por representante, refletindo os mandatos bienais das entidades e trocas de gestão pública.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Atualização dos Rosters de 2026: </w:t>
      </w:r>
      <w:r>
        <w:rPr>
          <w:rFonts w:ascii="Calibri" w:hAnsi="Calibri"/>
          <w:b w:val="0"/>
          <w:i w:val="0"/>
          <w:color w:val="2C221E"/>
          <w:sz w:val="22"/>
        </w:rPr>
        <w:t>Os dados referentes a 2026 registram 27 representantes confirmados até o momento (em fase de atualização formal pelo executivo municipal).</w:t>
      </w:r>
    </w:p>
    <w:p>
      <w:pPr>
        <w:keepNext/>
        <w:spacing w:before="360" w:after="160"/>
      </w:pPr>
      <w:r>
        <w:rPr>
          <w:rFonts w:ascii="Calibri" w:hAnsi="Calibri"/>
          <w:b/>
          <w:i w:val="0"/>
          <w:color w:val="4A3B32"/>
          <w:sz w:val="30"/>
        </w:rPr>
        <w:t>7. Lacunas Identificadas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1. Consolidação de Contatos: </w:t>
      </w:r>
      <w:r>
        <w:rPr>
          <w:rFonts w:ascii="Calibri" w:hAnsi="Calibri"/>
          <w:b w:val="0"/>
          <w:i w:val="0"/>
          <w:color w:val="2C221E"/>
          <w:sz w:val="22"/>
        </w:rPr>
        <w:t>Emissão de confirmação formal para os contatos de órgãos secundários marcados como 'a confirmar'.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2. Padronização de Nomenclatura: </w:t>
      </w:r>
      <w:r>
        <w:rPr>
          <w:rFonts w:ascii="Calibri" w:hAnsi="Calibri"/>
          <w:b w:val="0"/>
          <w:i w:val="0"/>
          <w:color w:val="2C221E"/>
          <w:sz w:val="22"/>
        </w:rPr>
        <w:t>Ajuste nas referências entre COMDEMA e CONDEMA, e diferenciação formal do CODEM (Conselho de Desenvolvimento Econômico).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3. Estrutura de Planejamento e Orçamento: </w:t>
      </w:r>
      <w:r>
        <w:rPr>
          <w:rFonts w:ascii="Calibri" w:hAnsi="Calibri"/>
          <w:b w:val="0"/>
          <w:i w:val="0"/>
          <w:color w:val="2C221E"/>
          <w:sz w:val="22"/>
        </w:rPr>
        <w:t>Confirmação oficial no relatório da extinção da estrutura autônoma da SEPLAN e sua plena integração à Secretaria Municipal de Fazenda (SEFAZ).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4. Atores de Financiamento Nacional/Internacional: </w:t>
      </w:r>
      <w:r>
        <w:rPr>
          <w:rFonts w:ascii="Calibri" w:hAnsi="Calibri"/>
          <w:b w:val="0"/>
          <w:i w:val="0"/>
          <w:color w:val="2C221E"/>
          <w:sz w:val="22"/>
        </w:rPr>
        <w:t>Necessidade de incluir bancos públicos e agências de fomento (BNDES, BRDE, Fomento Paraná, Banco do Brasil) no Mapeamento do Produto 4.</w:t>
      </w:r>
    </w:p>
    <w:p>
      <w:pPr>
        <w:keepNext/>
        <w:spacing w:before="360" w:after="160"/>
      </w:pPr>
      <w:r>
        <w:rPr>
          <w:rFonts w:ascii="Calibri" w:hAnsi="Calibri"/>
          <w:b/>
          <w:i w:val="0"/>
          <w:color w:val="4A3B32"/>
          <w:sz w:val="30"/>
        </w:rPr>
        <w:t>8. Próximos Passos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1. Validação Institucional: </w:t>
      </w:r>
      <w:r>
        <w:rPr>
          <w:rFonts w:ascii="Calibri" w:hAnsi="Calibri"/>
          <w:b w:val="0"/>
          <w:i w:val="0"/>
          <w:color w:val="2C221E"/>
          <w:sz w:val="22"/>
        </w:rPr>
        <w:t>Validação final da lista de pontos focais com a equipe técnica do IPPLAM.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2. Entrevistas Codificadas: </w:t>
      </w:r>
      <w:r>
        <w:rPr>
          <w:rFonts w:ascii="Calibri" w:hAnsi="Calibri"/>
          <w:b w:val="0"/>
          <w:i w:val="0"/>
          <w:color w:val="2C221E"/>
          <w:sz w:val="22"/>
        </w:rPr>
        <w:t>Conclusão e codificação das entrevistas em andamento para preservação da privacidade e conformidade com a LGPD.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2C221E"/>
          <w:sz w:val="22"/>
        </w:rPr>
        <w:t xml:space="preserve">3. Insumo para o Produto 4: </w:t>
      </w:r>
      <w:r>
        <w:rPr>
          <w:rFonts w:ascii="Calibri" w:hAnsi="Calibri"/>
          <w:b w:val="0"/>
          <w:i w:val="0"/>
          <w:color w:val="2C221E"/>
          <w:sz w:val="22"/>
        </w:rPr>
        <w:t>Utilização da Base de Evidências como insumo direto para a elaboração do Produto 4 (Diagnóstico das Condições Habilitantes).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