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8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5.png" ContentType="image/png"/>
  <Override PartName="/word/media/rId24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Eastern</w:t>
      </w:r>
      <w:r>
        <w:t xml:space="preserve"> </w:t>
      </w:r>
      <w:r>
        <w:t xml:space="preserve">Bluefin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enero,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5082138" cy="55441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ra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1.</w:t>
      </w:r>
      <w:r>
        <w:t xml:space="preserve"> </w:t>
      </w:r>
      <w:r>
        <w:t xml:space="preserve">Time series of CPUE indices with 95% confidence intervals.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2.</w:t>
      </w:r>
      <w:r>
        <w:t xml:space="preserve"> </w:t>
      </w:r>
      <w:r>
        <w:t xml:space="preserve">Time series of CPUE indices, continuous black line is a lowess smother showing the average trend by area (i.e. fitted to year for each area with series as a factor)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3.</w:t>
      </w:r>
      <w:r>
        <w:t xml:space="preserve"> </w:t>
      </w:r>
      <w:r>
        <w:t xml:space="preserve">Time series of residuals from the lowess fit.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plot-pairs-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4.</w:t>
      </w:r>
      <w:r>
        <w:t xml:space="preserve"> </w:t>
      </w:r>
      <w:r>
        <w:t xml:space="preserve">Pairwise scatter plots to look at correlations between Indices, North.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plot-cor-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/>
        </w:rPr>
        <w:t xml:space="preserve">Figure 5.</w:t>
      </w:r>
      <w:r>
        <w:t xml:space="preserve"> </w:t>
      </w:r>
      <w:r>
        <w:t xml:space="preserve">Plot of the correlation matrix for the Southern CPUE indices, blue indicate a positive correlation and red negative. the order of the indices and the rectanglur boxes are chosen based on a hierarchical cluster analysis using a set of dissimilarities for the indices being clustered.</w:t>
      </w:r>
    </w:p>
    <w:p>
      <w:pPr>
        <w:pStyle w:val="SourceCode"/>
      </w:pPr>
      <w:r>
        <w:rPr>
          <w:rStyle w:val="VerbatimChar"/>
        </w:rPr>
        <w:t xml:space="preserve">[1] "FLQuants" "FLlst"    "list"     "vector"  </w:t>
      </w:r>
    </w:p>
    <w:p>
      <w:pPr>
        <w:pStyle w:val="FirstParagraph"/>
      </w:pPr>
      <w:r>
        <w:rPr>
          <w:b/>
        </w:rPr>
        <w:t xml:space="preserve">Figure 6</w:t>
      </w:r>
      <w:r>
        <w:t xml:space="preserve"> </w:t>
      </w:r>
      <w:r>
        <w:t xml:space="preserve">Cross correlations between Northern indices, to identify potential lags due to year-class effects.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ccf-n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Catch compostion, vertical lines show the ages used in calibration.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ccf-n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8</w:t>
      </w:r>
      <w:r>
        <w:t xml:space="preserve"> </w:t>
      </w:r>
      <w:r>
        <w:t xml:space="preserve">Catch biomass compostion, vertical lines show the ages used in calibration.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ccf-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9</w:t>
      </w:r>
      <w:r>
        <w:t xml:space="preserve"> </w:t>
      </w:r>
      <w:r>
        <w:t xml:space="preserve">Catch curve analyses, vertical lines show the ages used in calibration.</w:t>
      </w:r>
    </w:p>
    <w:p>
      <w:pPr>
        <w:pStyle w:val="BodyText"/>
      </w:pPr>
      <w:r>
        <w:drawing>
          <wp:inline>
            <wp:extent cx="5082138" cy="55441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vpaData-c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10</w:t>
      </w:r>
      <w:r>
        <w:t xml:space="preserve"> </w:t>
      </w:r>
      <w:r>
        <w:t xml:space="preserve">Selection pattern of the entire catch-at-age.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45a3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/>
  <dcterms:created xsi:type="dcterms:W3CDTF">2018-01-23T04:00:11Z</dcterms:created>
  <dcterms:modified xsi:type="dcterms:W3CDTF">2018-01-23T04:00:11Z</dcterms:modified>
</cp:coreProperties>
</file>