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A00FBBE9">
      <w:pPr>
        <w:pStyle w:val="style66"/>
        <w:spacing w:before="102" w:lineRule="auto" w:line="206"/>
        <w:ind w:left="31" w:right="210" w:hanging="14"/>
        <w:outlineLvl w:val="0"/>
        <w:rPr>
          <w:sz w:val="51"/>
          <w:szCs w:val="51"/>
        </w:rPr>
      </w:pPr>
      <w:r>
        <w:rPr>
          <w:color w:val="1f2329"/>
          <w:spacing w:val="-1"/>
          <w:sz w:val="51"/>
          <w:szCs w:val="51"/>
        </w:rPr>
        <w:t>原研究</w:t>
      </w:r>
      <w:r>
        <w:rPr>
          <w:rFonts w:ascii="Arial" w:cs="Arial" w:eastAsia="Arial" w:hAnsi="Arial"/>
          <w:color w:val="1f2329"/>
          <w:spacing w:val="-1"/>
          <w:sz w:val="51"/>
          <w:szCs w:val="51"/>
        </w:rPr>
        <w:t>$f$</w:t>
      </w:r>
      <w:r>
        <w:rPr>
          <w:color w:val="1f2329"/>
          <w:spacing w:val="-1"/>
          <w:sz w:val="51"/>
          <w:szCs w:val="51"/>
        </w:rPr>
        <w:t xml:space="preserve">普通求导 </w:t>
      </w:r>
      <w:r>
        <w:rPr>
          <w:rFonts w:ascii="Arial" w:cs="Arial" w:eastAsia="Arial" w:hAnsi="Arial"/>
          <w:color w:val="1f2329"/>
          <w:spacing w:val="-1"/>
          <w:sz w:val="51"/>
          <w:szCs w:val="51"/>
        </w:rPr>
        <w:t xml:space="preserve">vs </w:t>
      </w:r>
      <w:r>
        <w:rPr>
          <w:color w:val="1f2329"/>
          <w:spacing w:val="-1"/>
          <w:sz w:val="51"/>
          <w:szCs w:val="51"/>
        </w:rPr>
        <w:t>物理几何学</w:t>
      </w:r>
      <w:r>
        <w:rPr>
          <w:rFonts w:ascii="Arial" w:cs="Arial" w:eastAsia="Arial" w:hAnsi="Arial"/>
          <w:color w:val="1f2329"/>
          <w:spacing w:val="-1"/>
          <w:sz w:val="51"/>
          <w:szCs w:val="51"/>
        </w:rPr>
        <w:t>$f_G$</w:t>
      </w:r>
      <w:r>
        <w:rPr>
          <w:color w:val="1f2329"/>
          <w:spacing w:val="-1"/>
          <w:sz w:val="51"/>
          <w:szCs w:val="51"/>
        </w:rPr>
        <w:t>协变求</w:t>
      </w:r>
      <w:r>
        <w:rPr>
          <w:color w:val="1f2329"/>
          <w:spacing w:val="-10"/>
          <w:sz w:val="51"/>
          <w:szCs w:val="51"/>
        </w:rPr>
        <w:t>导 对比推导表</w:t>
      </w:r>
    </w:p>
    <w:p w14:paraId="5A64B3FB">
      <w:pPr>
        <w:pStyle w:val="style66"/>
        <w:spacing w:before="340" w:lineRule="auto" w:line="231"/>
        <w:ind w:left="9" w:right="115" w:hanging="1"/>
        <w:jc w:val="both"/>
        <w:rPr/>
      </w:pPr>
      <w:r>
        <w:rPr>
          <w:color w:val="1f2329"/>
          <w:spacing w:val="4"/>
        </w:rPr>
        <w:t>核心聚焦导出法拉第电磁感应定律</w:t>
      </w:r>
      <w:r>
        <w:rPr>
          <w:color w:val="1f2329"/>
          <w:spacing w:val="4"/>
          <w:position w:val="1"/>
        </w:rPr>
        <w:t>（最核心的</w:t>
      </w:r>
      <w:r>
        <w:rPr>
          <w:rFonts w:ascii="Arial" w:cs="Arial" w:eastAsia="Arial" w:hAnsi="Arial"/>
          <w:i/>
          <w:iCs/>
          <w:color w:val="1f2329"/>
          <w:spacing w:val="4"/>
          <w:position w:val="1"/>
          <w:sz w:val="27"/>
          <w:szCs w:val="27"/>
        </w:rPr>
        <w:t>f</w:t>
      </w:r>
      <w:r>
        <w:rPr>
          <w:rFonts w:ascii="Arial" w:cs="Arial" w:eastAsia="Arial" w:hAnsi="Arial"/>
          <w:i/>
          <w:iCs/>
          <w:color w:val="1f2329"/>
          <w:spacing w:val="-45"/>
          <w:position w:val="1"/>
          <w:sz w:val="27"/>
          <w:szCs w:val="27"/>
        </w:rPr>
        <w:t xml:space="preserve"> </w:t>
      </w:r>
      <w:r>
        <w:rPr>
          <w:rFonts w:ascii="Malgun Gothic" w:cs="Malgun Gothic" w:eastAsia="Malgun Gothic" w:hAnsi="Malgun Gothic"/>
          <w:color w:val="1f2329"/>
          <w:spacing w:val="4"/>
          <w:position w:val="1"/>
          <w:sz w:val="27"/>
          <w:szCs w:val="27"/>
        </w:rPr>
        <w:t>/</w:t>
      </w:r>
      <w:r>
        <w:rPr>
          <w:rFonts w:ascii="Arial" w:cs="Arial" w:eastAsia="Arial" w:hAnsi="Arial"/>
          <w:i/>
          <w:iCs/>
          <w:color w:val="1f2329"/>
          <w:position w:val="1"/>
          <w:sz w:val="27"/>
          <w:szCs w:val="27"/>
        </w:rPr>
        <w:t>f</w:t>
      </w:r>
      <w:r>
        <w:rPr>
          <w:rFonts w:ascii="Arial" w:cs="Arial" w:eastAsia="Arial" w:hAnsi="Arial"/>
          <w:i/>
          <w:iCs/>
          <w:color w:val="1f2329"/>
          <w:position w:val="-1"/>
          <w:sz w:val="18"/>
          <w:szCs w:val="18"/>
        </w:rPr>
        <w:t>G</w:t>
      </w:r>
      <w:r>
        <w:rPr>
          <w:rFonts w:ascii="Arial" w:cs="Arial" w:eastAsia="Arial" w:hAnsi="Arial"/>
          <w:i/>
          <w:iCs/>
          <w:color w:val="1f2329"/>
          <w:spacing w:val="23"/>
          <w:position w:val="-1"/>
          <w:sz w:val="18"/>
          <w:szCs w:val="18"/>
        </w:rPr>
        <w:t xml:space="preserve"> </w:t>
      </w:r>
      <w:r>
        <w:rPr>
          <w:color w:val="1f2329"/>
          <w:spacing w:val="4"/>
        </w:rPr>
        <w:t>求导应用场景</w:t>
      </w:r>
      <w:r>
        <w:rPr>
          <w:color w:val="1f2329"/>
          <w:spacing w:val="9"/>
        </w:rPr>
        <w:t>），</w:t>
      </w:r>
      <w:r>
        <w:rPr>
          <w:color w:val="1f2329"/>
          <w:spacing w:val="4"/>
        </w:rPr>
        <w:t>左侧为原研究欧式平直时空下</w:t>
      </w:r>
      <w:r>
        <w:rPr>
          <w:color w:val="1f2329"/>
          <w:spacing w:val="-2"/>
        </w:rPr>
        <w:t>的普通求导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，右侧为物理几何学</w:t>
      </w:r>
      <w:r>
        <w:rPr>
          <w:rFonts w:ascii="Arial" w:cs="Arial" w:eastAsia="Arial" w:hAnsi="Arial"/>
          <w:color w:val="1f2329"/>
          <w:spacing w:val="-2"/>
        </w:rPr>
        <w:t>4</w:t>
      </w:r>
      <w:r>
        <w:rPr>
          <w:color w:val="1f2329"/>
          <w:spacing w:val="-2"/>
        </w:rPr>
        <w:t>维伪黎曼</w:t>
      </w:r>
      <w:r>
        <w:rPr>
          <w:color w:val="1f2329"/>
          <w:spacing w:val="-3"/>
        </w:rPr>
        <w:t>流形下的协变求导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3"/>
        </w:rPr>
        <w:t>，标注关键规则、差异点、正确性判定，</w:t>
      </w:r>
      <w:r>
        <w:rPr>
          <w:color w:val="1f2329"/>
          <w:spacing w:val="-3"/>
        </w:rPr>
        <w:t>数学步骤逐一对应</w:t>
      </w:r>
      <w:r>
        <w:rPr>
          <w:color w:val="1f2329"/>
          <w:spacing w:val="-23"/>
        </w:rPr>
        <w:t xml:space="preserve"> </w:t>
      </w:r>
      <w:r>
        <w:rPr>
          <w:color w:val="1f2329"/>
          <w:spacing w:val="-3"/>
        </w:rPr>
        <w:t>，直观体现二者本质区别。</w:t>
      </w:r>
    </w:p>
    <w:p w14:paraId="349ECDD0">
      <w:pPr>
        <w:pStyle w:val="style0"/>
        <w:spacing w:before="109"/>
        <w:rPr/>
      </w:pPr>
    </w:p>
    <w:tbl>
      <w:tblPr>
        <w:tblStyle w:val="style4097"/>
        <w:tblW w:w="1075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</w:tblPr>
      <w:tblGrid>
        <w:gridCol w:w="741"/>
        <w:gridCol w:w="3460"/>
        <w:gridCol w:w="6553"/>
      </w:tblGrid>
      <w:tr w14:paraId="0F5BC364">
        <w:trPr>
          <w:trHeight w:val="1627" w:hRule="atLeast"/>
        </w:trPr>
        <w:tc>
          <w:tcPr>
            <w:tcW w:w="741" w:type="dxa"/>
            <w:tcBorders/>
          </w:tcPr>
          <w:p w14:paraId="4995B348">
            <w:pPr>
              <w:pStyle w:val="style0"/>
              <w:spacing w:before="191"/>
              <w:ind w:left="167" w:right="155" w:hanging="10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推导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w w:val="97"/>
                <w:sz w:val="21"/>
                <w:szCs w:val="21"/>
              </w:rPr>
              <w:t>阶段</w:t>
            </w:r>
          </w:p>
        </w:tc>
        <w:tc>
          <w:tcPr>
            <w:tcW w:w="3460" w:type="dxa"/>
            <w:tcBorders/>
          </w:tcPr>
          <w:p w14:paraId="C273FC6E">
            <w:pPr>
              <w:pStyle w:val="style4098"/>
              <w:spacing w:before="189" w:lineRule="auto" w:line="190"/>
              <w:ind w:left="202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原研究：耦合系数</w:t>
            </w:r>
            <w:r>
              <w:rPr>
                <w:rFonts w:ascii="Microsoft YaHei" w:cs="Microsoft YaHei" w:eastAsia="Microsoft YaHei" w:hAnsi="Microsoft YaHei"/>
                <w:color w:val="1f2329"/>
                <w:spacing w:val="29"/>
                <w:w w:val="101"/>
              </w:rPr>
              <w:t xml:space="preserve"> </w:t>
            </w:r>
            <w:r>
              <w:rPr>
                <w:i/>
                <w:iCs/>
                <w:color w:val="1f2329"/>
                <w:spacing w:val="1"/>
                <w:position w:val="2"/>
              </w:rPr>
              <w:t>f</w:t>
            </w:r>
            <w:r>
              <w:rPr>
                <w:i/>
                <w:iCs/>
                <w:color w:val="1f2329"/>
                <w:spacing w:val="14"/>
                <w:w w:val="101"/>
                <w:position w:val="2"/>
              </w:rPr>
              <w:t xml:space="preserve"> 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欧式普通求</w:t>
            </w:r>
          </w:p>
          <w:p w14:paraId="4E60564A">
            <w:pPr>
              <w:pStyle w:val="style0"/>
              <w:spacing w:before="60" w:lineRule="auto" w:line="180"/>
              <w:ind w:left="682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导（导出法拉第定律）</w:t>
            </w:r>
          </w:p>
        </w:tc>
        <w:tc>
          <w:tcPr>
            <w:tcW w:w="6553" w:type="dxa"/>
            <w:tcBorders/>
          </w:tcPr>
          <w:p w14:paraId="96FAA115">
            <w:pPr>
              <w:pStyle w:val="style4098"/>
              <w:spacing w:before="189" w:lineRule="auto" w:line="194"/>
              <w:ind w:left="224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 xml:space="preserve">物理几何学：几何耦合系数 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1"/>
              </w:rPr>
              <w:t xml:space="preserve"> 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协变求导（导出法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拉第协变形式）</w:t>
            </w:r>
          </w:p>
        </w:tc>
      </w:tr>
      <w:tr w14:paraId="141D81A8">
        <w:tblPrEx/>
        <w:trPr>
          <w:trHeight w:val="2655" w:hRule="atLeast"/>
        </w:trPr>
        <w:tc>
          <w:tcPr>
            <w:tcW w:w="741" w:type="dxa"/>
            <w:tcBorders/>
          </w:tcPr>
          <w:p w14:paraId="4A6362C3">
            <w:pPr>
              <w:pStyle w:val="style0"/>
              <w:spacing w:before="182" w:lineRule="auto" w:line="241"/>
              <w:ind w:left="157" w:right="155" w:hanging="2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基础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w w:val="99"/>
                <w:sz w:val="21"/>
                <w:szCs w:val="21"/>
              </w:rPr>
              <w:t>方程</w:t>
            </w:r>
          </w:p>
        </w:tc>
        <w:tc>
          <w:tcPr>
            <w:tcW w:w="3460" w:type="dxa"/>
            <w:tcBorders/>
          </w:tcPr>
          <w:p w14:paraId="2DE5A49C">
            <w:pPr>
              <w:pStyle w:val="style4098"/>
              <w:spacing w:before="183" w:lineRule="exact" w:line="226"/>
              <w:ind w:left="437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1"/>
              </w:rPr>
              <w:t xml:space="preserve">1.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 xml:space="preserve">引力场加速度： </w:t>
            </w:r>
            <w:r>
              <w:rPr>
                <w:i/>
                <w:iCs/>
                <w:color w:val="1f2329"/>
                <w:spacing w:val="-1"/>
                <w:position w:val="2"/>
              </w:rPr>
              <w:t xml:space="preserve">A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（量纲</w:t>
            </w:r>
          </w:p>
          <w:p w14:paraId="D99D6E00">
            <w:pPr>
              <w:pStyle w:val="style4098"/>
              <w:spacing w:before="1" w:lineRule="auto" w:line="196"/>
              <w:ind w:left="256"/>
              <w:rPr>
                <w:rFonts w:ascii="Microsoft YaHei" w:cs="Microsoft YaHei" w:eastAsia="Microsoft YaHei" w:hAnsi="Microsoft YaHei"/>
              </w:rPr>
            </w:pPr>
            <w:r>
              <w:rPr>
                <w:i/>
                <w:iCs/>
                <w:color w:val="1f2329"/>
                <w:spacing w:val="-1"/>
                <w:position w:val="1"/>
              </w:rPr>
              <w:t>LT</w:t>
            </w:r>
            <w:r>
              <w:rPr>
                <w:rFonts w:ascii="Malgun Gothic" w:cs="Malgun Gothic" w:eastAsia="Malgun Gothic" w:hAnsi="Malgun Gothic"/>
                <w:color w:val="1f2329"/>
                <w:spacing w:val="-1"/>
                <w:position w:val="10"/>
              </w:rPr>
              <w:t xml:space="preserve">—2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-1"/>
              </w:rPr>
              <w:t>，孤立物理量）</w:t>
            </w:r>
            <w:r>
              <w:rPr>
                <w:color w:val="1f2329"/>
                <w:spacing w:val="-1"/>
                <w:position w:val="-1"/>
              </w:rPr>
              <w:t>&lt;br&gt;2.</w:t>
            </w:r>
            <w:r>
              <w:rPr>
                <w:color w:val="1f2329"/>
                <w:spacing w:val="29"/>
                <w:position w:val="-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-1"/>
              </w:rPr>
              <w:t>电</w:t>
            </w:r>
          </w:p>
          <w:p w14:paraId="EFA7F97C">
            <w:pPr>
              <w:pStyle w:val="style4098"/>
              <w:spacing w:before="7" w:lineRule="auto" w:line="221"/>
              <w:ind w:left="185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4"/>
                <w:position w:val="-1"/>
              </w:rPr>
              <w:t xml:space="preserve">场与 </w:t>
            </w:r>
            <w:r>
              <w:rPr>
                <w:i/>
                <w:iCs/>
                <w:color w:val="1f2329"/>
                <w:spacing w:val="4"/>
                <w:position w:val="1"/>
              </w:rPr>
              <w:t xml:space="preserve">A </w:t>
            </w:r>
            <w:r>
              <w:rPr>
                <w:rFonts w:ascii="Microsoft YaHei" w:cs="Microsoft YaHei" w:eastAsia="Microsoft YaHei" w:hAnsi="Microsoft YaHei"/>
                <w:color w:val="1f2329"/>
                <w:spacing w:val="4"/>
                <w:position w:val="-1"/>
              </w:rPr>
              <w:t xml:space="preserve">关系： </w:t>
            </w:r>
            <w:r>
              <w:rPr>
                <w:b/>
                <w:bCs/>
                <w:i/>
                <w:iCs/>
                <w:color w:val="1f2329"/>
                <w:spacing w:val="4"/>
                <w:position w:val="1"/>
              </w:rPr>
              <w:t xml:space="preserve">E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4"/>
                <w:position w:val="1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2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4"/>
                <w:position w:val="1"/>
              </w:rPr>
              <w:t>−</w:t>
            </w:r>
            <w:r>
              <w:rPr>
                <w:b/>
                <w:bCs/>
                <w:i/>
                <w:iCs/>
                <w:color w:val="1f2329"/>
                <w:spacing w:val="4"/>
                <w:position w:val="1"/>
              </w:rPr>
              <w:t>f</w:t>
            </w:r>
            <w:r>
              <w:rPr>
                <w:b/>
                <w:bCs/>
                <w:i/>
                <w:iCs/>
                <w:color w:val="1f2329"/>
                <w:spacing w:val="16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4"/>
                <w:position w:val="1"/>
              </w:rPr>
              <w:t>.</w:t>
            </w:r>
            <w:r>
              <w:rPr>
                <w:rFonts w:ascii="MS Gothic" w:cs="MS Gothic" w:eastAsia="MS Gothic" w:hAnsi="MS Gothic"/>
                <w:color w:val="1f2329"/>
                <w:spacing w:val="-53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4"/>
                <w:position w:val="1"/>
              </w:rPr>
              <w:t>∂</w:t>
            </w:r>
            <w:r>
              <w:rPr>
                <w:b/>
                <w:bCs/>
                <w:i/>
                <w:iCs/>
                <w:color w:val="1f2329"/>
                <w:spacing w:val="4"/>
                <w:position w:val="1"/>
              </w:rPr>
              <w:t>A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4"/>
                <w:position w:val="1"/>
              </w:rPr>
              <w:t>/∂</w:t>
            </w:r>
            <w:r>
              <w:rPr>
                <w:b/>
                <w:bCs/>
                <w:i/>
                <w:iCs/>
                <w:color w:val="1f2329"/>
                <w:spacing w:val="4"/>
                <w:position w:val="1"/>
              </w:rPr>
              <w:t>t</w:t>
            </w:r>
          </w:p>
          <w:p w14:paraId="92D428E7">
            <w:pPr>
              <w:pStyle w:val="style4098"/>
              <w:spacing w:before="57" w:lineRule="auto" w:line="200"/>
              <w:ind w:left="622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1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"/>
              </w:rPr>
              <w:t xml:space="preserve">&gt;3.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 xml:space="preserve">磁场与 </w:t>
            </w:r>
            <w:r>
              <w:rPr>
                <w:i/>
                <w:iCs/>
                <w:color w:val="1f2329"/>
                <w:spacing w:val="1"/>
                <w:position w:val="2"/>
              </w:rPr>
              <w:t xml:space="preserve">A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关系：</w:t>
            </w:r>
          </w:p>
          <w:p w14:paraId="1C12700D">
            <w:pPr>
              <w:pStyle w:val="style4098"/>
              <w:spacing w:before="1" w:lineRule="auto" w:line="180"/>
              <w:ind w:left="235"/>
              <w:rPr>
                <w:rFonts w:ascii="Microsoft YaHei" w:cs="Microsoft YaHei" w:eastAsia="Microsoft YaHei" w:hAnsi="Microsoft YaHei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8"/>
                <w:position w:val="1"/>
              </w:rPr>
              <w:t>∇</w:t>
            </w:r>
            <w:r>
              <w:rPr>
                <w:rFonts w:ascii="MS Gothic" w:cs="MS Gothic" w:eastAsia="MS Gothic" w:hAnsi="MS Gothic"/>
                <w:color w:val="1f2329"/>
                <w:spacing w:val="-26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8"/>
                <w:position w:val="1"/>
              </w:rPr>
              <w:t>×</w:t>
            </w:r>
            <w:r>
              <w:rPr>
                <w:rFonts w:ascii="MS Gothic" w:cs="MS Gothic" w:eastAsia="MS Gothic" w:hAnsi="MS Gothic"/>
                <w:color w:val="1f2329"/>
                <w:spacing w:val="-42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8"/>
                <w:position w:val="1"/>
              </w:rPr>
              <w:t xml:space="preserve">A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8"/>
                <w:position w:val="1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30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8"/>
                <w:position w:val="1"/>
              </w:rPr>
              <w:t>B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8"/>
                <w:position w:val="1"/>
              </w:rPr>
              <w:t>/</w:t>
            </w:r>
            <w:r>
              <w:rPr>
                <w:b/>
                <w:bCs/>
                <w:i/>
                <w:iCs/>
                <w:color w:val="1f2329"/>
                <w:spacing w:val="8"/>
                <w:position w:val="1"/>
              </w:rPr>
              <w:t xml:space="preserve">f </w:t>
            </w:r>
            <w:r>
              <w:rPr>
                <w:color w:val="1f2329"/>
                <w:spacing w:val="8"/>
                <w:position w:val="-1"/>
              </w:rPr>
              <w:t>&lt;</w:t>
            </w:r>
            <w:r>
              <w:rPr>
                <w:color w:val="1f2329"/>
                <w:position w:val="-1"/>
              </w:rPr>
              <w:t>br</w:t>
            </w:r>
            <w:r>
              <w:rPr>
                <w:color w:val="1f2329"/>
                <w:spacing w:val="8"/>
                <w:position w:val="-1"/>
              </w:rPr>
              <w:t>&gt;</w:t>
            </w:r>
            <w:r>
              <w:rPr>
                <w:color w:val="1f2329"/>
                <w:spacing w:val="30"/>
                <w:w w:val="101"/>
                <w:position w:val="-1"/>
              </w:rPr>
              <w:t xml:space="preserve"> </w:t>
            </w:r>
            <w:r>
              <w:rPr>
                <w:i/>
                <w:iCs/>
                <w:color w:val="1f2329"/>
                <w:spacing w:val="8"/>
                <w:position w:val="1"/>
              </w:rPr>
              <w:t xml:space="preserve">f  </w:t>
            </w:r>
            <w:r>
              <w:rPr>
                <w:rFonts w:ascii="Microsoft YaHei" w:cs="Microsoft YaHei" w:eastAsia="Microsoft YaHei" w:hAnsi="Microsoft YaHei"/>
                <w:color w:val="1f2329"/>
                <w:spacing w:val="8"/>
                <w:position w:val="-1"/>
              </w:rPr>
              <w:t>：经典常</w:t>
            </w:r>
          </w:p>
          <w:p w14:paraId="22CD8DAA">
            <w:pPr>
              <w:pStyle w:val="style4098"/>
              <w:spacing w:before="1" w:lineRule="auto" w:line="196"/>
              <w:ind w:left="176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1"/>
                <w:position w:val="-1"/>
              </w:rPr>
              <w:t xml:space="preserve">数组合（ </w:t>
            </w:r>
            <w:r>
              <w:rPr>
                <w:i/>
                <w:iCs/>
                <w:color w:val="1f2329"/>
                <w:position w:val="1"/>
              </w:rPr>
              <w:t>MI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  <w:position w:val="10"/>
              </w:rPr>
              <w:t>—1</w:t>
            </w:r>
            <w:r>
              <w:rPr>
                <w:rFonts w:ascii="Malgun Gothic" w:cs="Malgun Gothic" w:eastAsia="Malgun Gothic" w:hAnsi="Malgun Gothic"/>
                <w:color w:val="1f2329"/>
                <w:spacing w:val="-21"/>
                <w:position w:val="10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-1"/>
              </w:rPr>
              <w:t>），</w:t>
            </w:r>
            <w:r>
              <w:rPr>
                <w:rFonts w:ascii="Microsoft YaHei" w:cs="Microsoft YaHei" w:eastAsia="Microsoft YaHei" w:hAnsi="Microsoft YaHei"/>
                <w:color w:val="1f2329"/>
                <w:spacing w:val="-40"/>
                <w:position w:val="-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  <w:position w:val="-1"/>
              </w:rPr>
              <w:t>与时空</w:t>
            </w:r>
            <w:r>
              <w:rPr>
                <w:color w:val="1f2329"/>
                <w:spacing w:val="1"/>
                <w:position w:val="-1"/>
              </w:rPr>
              <w:t>/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  <w:position w:val="-1"/>
              </w:rPr>
              <w:t>场量</w:t>
            </w:r>
          </w:p>
          <w:p w14:paraId="0D130662">
            <w:pPr>
              <w:pStyle w:val="style0"/>
              <w:spacing w:before="51" w:lineRule="auto" w:line="185"/>
              <w:ind w:left="1518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5"/>
                <w:sz w:val="21"/>
                <w:szCs w:val="21"/>
              </w:rPr>
              <w:t>无关</w:t>
            </w:r>
          </w:p>
        </w:tc>
        <w:tc>
          <w:tcPr>
            <w:tcW w:w="6553" w:type="dxa"/>
            <w:tcBorders/>
          </w:tcPr>
          <w:p w14:paraId="47182272">
            <w:pPr>
              <w:pStyle w:val="style4098"/>
              <w:spacing w:before="97" w:lineRule="exact" w:line="408"/>
              <w:ind w:left="391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1"/>
                <w:position w:val="4"/>
              </w:rPr>
              <w:t xml:space="preserve">1.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4"/>
              </w:rPr>
              <w:t xml:space="preserve">引力场加速度： </w:t>
            </w:r>
            <w:r>
              <w:rPr>
                <w:i/>
                <w:iCs/>
                <w:color w:val="1f2329"/>
                <w:spacing w:val="-1"/>
                <w:position w:val="11"/>
              </w:rPr>
              <w:t xml:space="preserve">Aμ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4"/>
              </w:rPr>
              <w:t>（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  <w:position w:val="4"/>
              </w:rPr>
              <w:t xml:space="preserve"> </w:t>
            </w:r>
            <w:r>
              <w:rPr>
                <w:color w:val="1f2329"/>
                <w:spacing w:val="-1"/>
                <w:position w:val="4"/>
              </w:rPr>
              <w:t>1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4"/>
              </w:rPr>
              <w:t>阶切矢量</w:t>
            </w:r>
            <w:r>
              <w:rPr>
                <w:rFonts w:ascii="Microsoft YaHei" w:cs="Microsoft YaHei" w:eastAsia="Microsoft YaHei" w:hAnsi="Microsoft YaHei"/>
                <w:color w:val="1f2329"/>
                <w:spacing w:val="-33"/>
                <w:position w:val="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  <w:position w:val="4"/>
              </w:rPr>
              <w:t>，</w:t>
            </w:r>
            <w:r>
              <w:rPr>
                <w:rFonts w:ascii="Microsoft YaHei" w:cs="Microsoft YaHei" w:eastAsia="Microsoft YaHei" w:hAnsi="Microsoft YaHei"/>
                <w:color w:val="1f2329"/>
                <w:spacing w:val="-13"/>
                <w:position w:val="4"/>
              </w:rPr>
              <w:t xml:space="preserve"> </w:t>
            </w:r>
            <w:r>
              <w:rPr>
                <w:i/>
                <w:iCs/>
                <w:color w:val="1f2329"/>
                <w:spacing w:val="-1"/>
                <w:position w:val="9"/>
              </w:rPr>
              <w:t>Aμ</w:t>
            </w:r>
            <w:r>
              <w:rPr>
                <w:i/>
                <w:iCs/>
                <w:color w:val="1f2329"/>
                <w:spacing w:val="20"/>
                <w:position w:val="9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-2"/>
                <w:position w:val="5"/>
              </w:rPr>
              <w:t xml:space="preserve">= </w:t>
            </w:r>
            <w:r>
              <w:rPr>
                <w:i/>
                <w:iCs/>
                <w:color w:val="1f2329"/>
                <w:spacing w:val="-2"/>
                <w:position w:val="5"/>
              </w:rPr>
              <w:t>R</w:t>
            </w:r>
            <w:r>
              <w:rPr>
                <w:i/>
                <w:iCs/>
                <w:color w:val="1f2329"/>
                <w:spacing w:val="-2"/>
                <w:position w:val="12"/>
              </w:rPr>
              <w:t>μ</w:t>
            </w:r>
            <w:r>
              <w:rPr>
                <w:i/>
                <w:iCs/>
                <w:color w:val="1f2329"/>
                <w:spacing w:val="-2"/>
                <w:position w:val="-1"/>
              </w:rPr>
              <w:t>ν</w:t>
            </w:r>
            <w:r>
              <w:rPr>
                <w:i/>
                <w:iCs/>
                <w:color w:val="1f2329"/>
                <w:spacing w:val="-2"/>
                <w:position w:val="6"/>
              </w:rPr>
              <w:t>ρσUν</w:t>
            </w:r>
            <w:r>
              <w:rPr>
                <w:i/>
                <w:iCs/>
                <w:color w:val="1f2329"/>
                <w:spacing w:val="-30"/>
                <w:position w:val="6"/>
              </w:rPr>
              <w:t xml:space="preserve"> </w:t>
            </w:r>
            <w:r>
              <w:rPr>
                <w:i/>
                <w:iCs/>
                <w:color w:val="1f2329"/>
                <w:spacing w:val="-2"/>
                <w:position w:val="6"/>
              </w:rPr>
              <w:t>ξρ</w:t>
            </w:r>
            <w:r>
              <w:rPr>
                <w:i/>
                <w:iCs/>
                <w:color w:val="1f2329"/>
                <w:spacing w:val="-35"/>
                <w:position w:val="6"/>
              </w:rPr>
              <w:t xml:space="preserve"> </w:t>
            </w:r>
            <w:r>
              <w:rPr>
                <w:i/>
                <w:iCs/>
                <w:color w:val="1f2329"/>
                <w:spacing w:val="-2"/>
                <w:position w:val="6"/>
              </w:rPr>
              <w:t>Uσ</w:t>
            </w:r>
            <w:r>
              <w:rPr>
                <w:i/>
                <w:iCs/>
                <w:color w:val="1f2329"/>
                <w:spacing w:val="28"/>
                <w:position w:val="6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  <w:position w:val="4"/>
              </w:rPr>
              <w:t>)</w:t>
            </w:r>
          </w:p>
          <w:p w14:paraId="D9B576C2">
            <w:pPr>
              <w:pStyle w:val="style4098"/>
              <w:spacing w:before="17" w:lineRule="auto" w:line="196"/>
              <w:ind w:left="177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1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"/>
              </w:rPr>
              <w:t>&gt;2.</w:t>
            </w:r>
            <w:r>
              <w:rPr>
                <w:color w:val="1f2329"/>
                <w:spacing w:val="2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 xml:space="preserve">电磁场张量： </w:t>
            </w:r>
            <w:r>
              <w:rPr>
                <w:i/>
                <w:iCs/>
                <w:color w:val="1f2329"/>
                <w:spacing w:val="1"/>
              </w:rPr>
              <w:t>F</w:t>
            </w:r>
            <w:r>
              <w:rPr>
                <w:i/>
                <w:iCs/>
                <w:color w:val="1f2329"/>
                <w:spacing w:val="1"/>
                <w:position w:val="-2"/>
              </w:rPr>
              <w:t>μν</w:t>
            </w:r>
            <w:r>
              <w:rPr>
                <w:i/>
                <w:iCs/>
                <w:color w:val="1f2329"/>
                <w:spacing w:val="34"/>
                <w:w w:val="101"/>
                <w:position w:val="-2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= ∇</w:t>
            </w:r>
            <w:r>
              <w:rPr>
                <w:i/>
                <w:iCs/>
                <w:color w:val="1f2329"/>
                <w:spacing w:val="1"/>
              </w:rPr>
              <w:t>μA</w:t>
            </w:r>
            <w:r>
              <w:rPr>
                <w:i/>
                <w:iCs/>
                <w:color w:val="1f2329"/>
                <w:spacing w:val="-42"/>
              </w:rPr>
              <w:t xml:space="preserve"> </w:t>
            </w:r>
            <w:r>
              <w:rPr>
                <w:i/>
                <w:iCs/>
                <w:color w:val="1f2329"/>
                <w:spacing w:val="1"/>
              </w:rPr>
              <w:t>ν</w:t>
            </w:r>
            <w:r>
              <w:rPr>
                <w:i/>
                <w:iCs/>
                <w:color w:val="1f2329"/>
                <w:spacing w:val="3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—</w:t>
            </w:r>
            <w:r>
              <w:rPr>
                <w:rFonts w:ascii="Malgun Gothic" w:cs="Malgun Gothic" w:eastAsia="Malgun Gothic" w:hAnsi="Malgun Gothic"/>
                <w:color w:val="1f2329"/>
                <w:spacing w:val="-16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∇</w:t>
            </w:r>
            <w:r>
              <w:rPr>
                <w:i/>
                <w:iCs/>
                <w:color w:val="1f2329"/>
                <w:spacing w:val="1"/>
              </w:rPr>
              <w:t>νA</w:t>
            </w:r>
            <w:r>
              <w:rPr>
                <w:i/>
                <w:iCs/>
                <w:color w:val="1f2329"/>
                <w:spacing w:val="1"/>
                <w:position w:val="-2"/>
              </w:rPr>
              <w:t xml:space="preserve">μ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（</w:t>
            </w:r>
            <w:r>
              <w:rPr>
                <w:color w:val="1f2329"/>
                <w:spacing w:val="1"/>
              </w:rPr>
              <w:t>2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阶反对称张量</w:t>
            </w:r>
            <w:r>
              <w:rPr>
                <w:rFonts w:ascii="Microsoft YaHei" w:cs="Microsoft YaHei" w:eastAsia="Microsoft YaHei" w:hAnsi="Microsoft YaHei"/>
                <w:color w:val="1f2329"/>
                <w:spacing w:val="-3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，整</w:t>
            </w:r>
          </w:p>
          <w:p w14:paraId="56211957">
            <w:pPr>
              <w:pStyle w:val="style4098"/>
              <w:spacing w:before="14" w:lineRule="exact" w:line="257"/>
              <w:ind w:left="1479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1"/>
              </w:rPr>
              <w:t>合</w:t>
            </w:r>
            <w:r>
              <w:rPr>
                <w:i/>
                <w:iCs/>
                <w:color w:val="1f2329"/>
                <w:spacing w:val="5"/>
                <w:position w:val="1"/>
              </w:rPr>
              <w:t>E</w:t>
            </w:r>
            <w:r>
              <w:rPr>
                <w:rFonts w:ascii="Malgun Gothic" w:cs="Malgun Gothic" w:eastAsia="Malgun Gothic" w:hAnsi="Malgun Gothic"/>
                <w:color w:val="1f2329"/>
                <w:spacing w:val="5"/>
                <w:position w:val="3"/>
              </w:rPr>
              <w:t>/</w:t>
            </w:r>
            <w:r>
              <w:rPr>
                <w:i/>
                <w:iCs/>
                <w:color w:val="1f2329"/>
                <w:spacing w:val="5"/>
                <w:position w:val="1"/>
              </w:rPr>
              <w:t xml:space="preserve">B 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1"/>
              </w:rPr>
              <w:t>）</w:t>
            </w:r>
            <w:r>
              <w:rPr>
                <w:color w:val="1f2329"/>
                <w:spacing w:val="5"/>
                <w:position w:val="1"/>
              </w:rPr>
              <w:t>&lt;</w:t>
            </w:r>
            <w:r>
              <w:rPr>
                <w:color w:val="1f2329"/>
                <w:position w:val="1"/>
              </w:rPr>
              <w:t>br</w:t>
            </w:r>
            <w:r>
              <w:rPr>
                <w:color w:val="1f2329"/>
                <w:spacing w:val="5"/>
                <w:position w:val="1"/>
              </w:rPr>
              <w:t xml:space="preserve">&gt;3. 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1"/>
              </w:rPr>
              <w:t>引力</w:t>
            </w:r>
            <w:r>
              <w:rPr>
                <w:color w:val="1f2329"/>
                <w:spacing w:val="5"/>
                <w:position w:val="1"/>
              </w:rPr>
              <w:t>-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1"/>
              </w:rPr>
              <w:t>磁场几何耦合：</w:t>
            </w:r>
          </w:p>
          <w:p w14:paraId="71AED657">
            <w:pPr>
              <w:pStyle w:val="style4098"/>
              <w:ind w:left="355"/>
              <w:rPr>
                <w:rFonts w:ascii="Microsoft YaHei" w:cs="Microsoft YaHei" w:eastAsia="Microsoft YaHei" w:hAnsi="Microsoft YaHei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4"/>
              </w:rPr>
              <w:t>μAν</w:t>
            </w:r>
            <w:r>
              <w:rPr>
                <w:b/>
                <w:bCs/>
                <w:i/>
                <w:iCs/>
                <w:color w:val="1f2329"/>
                <w:spacing w:val="3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  <w:position w:val="1"/>
              </w:rPr>
              <w:t>−</w:t>
            </w:r>
            <w:r>
              <w:rPr>
                <w:rFonts w:ascii="MS Gothic" w:cs="MS Gothic" w:eastAsia="MS Gothic" w:hAnsi="MS Gothic"/>
                <w:color w:val="1f2329"/>
                <w:spacing w:val="-40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4"/>
              </w:rPr>
              <w:t>ν</w:t>
            </w:r>
            <w:r>
              <w:rPr>
                <w:b/>
                <w:bCs/>
                <w:i/>
                <w:iCs/>
                <w:color w:val="1f2329"/>
              </w:rPr>
              <w:t>A</w:t>
            </w:r>
            <w:r>
              <w:rPr>
                <w:position w:val="-19"/>
              </w:rPr>
              <w:drawing>
                <wp:inline distL="0" distT="0" distB="0" distR="0">
                  <wp:extent cx="530032" cy="329355"/>
                  <wp:effectExtent l="0" t="0" r="0" b="0"/>
                  <wp:docPr id="1026" name="IM 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 2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530032" cy="3293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i/>
                <w:iCs/>
                <w:color w:val="1f2329"/>
                <w:position w:val="2"/>
              </w:rPr>
              <w:t>R</w:t>
            </w:r>
            <w:r>
              <w:rPr>
                <w:b/>
                <w:bCs/>
                <w:i/>
                <w:iCs/>
                <w:color w:val="1f2329"/>
                <w:spacing w:val="14"/>
                <w:position w:val="2"/>
              </w:rPr>
              <w:t>μνρσUρ</w:t>
            </w:r>
            <w:r>
              <w:rPr>
                <w:b/>
                <w:bCs/>
                <w:i/>
                <w:iCs/>
                <w:color w:val="1f2329"/>
                <w:spacing w:val="-32"/>
                <w:position w:val="2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4"/>
                <w:position w:val="2"/>
              </w:rPr>
              <w:t>ξσ</w:t>
            </w:r>
            <w:r>
              <w:rPr>
                <w:b/>
                <w:bCs/>
                <w:i/>
                <w:iCs/>
                <w:color w:val="1f2329"/>
                <w:spacing w:val="32"/>
                <w:w w:val="101"/>
                <w:position w:val="2"/>
              </w:rPr>
              <w:t xml:space="preserve"> </w:t>
            </w:r>
            <w:r>
              <w:rPr>
                <w:color w:val="1f2329"/>
                <w:spacing w:val="14"/>
                <w:position w:val="-1"/>
              </w:rPr>
              <w:t>&lt;</w:t>
            </w:r>
            <w:r>
              <w:rPr>
                <w:color w:val="1f2329"/>
                <w:position w:val="-1"/>
              </w:rPr>
              <w:t>br</w:t>
            </w:r>
            <w:r>
              <w:rPr>
                <w:color w:val="1f2329"/>
                <w:spacing w:val="14"/>
                <w:position w:val="-2"/>
              </w:rPr>
              <w:t xml:space="preserve">&gt; </w:t>
            </w:r>
            <w:r>
              <w:rPr>
                <w:i/>
                <w:iCs/>
                <w:color w:val="1f2329"/>
                <w:position w:val="-2"/>
              </w:rPr>
              <w:t>fG</w:t>
            </w:r>
            <w:r>
              <w:rPr>
                <w:i/>
                <w:iCs/>
                <w:color w:val="1f2329"/>
                <w:spacing w:val="47"/>
                <w:w w:val="101"/>
                <w:position w:val="-2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14"/>
                <w:position w:val="-1"/>
              </w:rPr>
              <w:t>：几何</w:t>
            </w:r>
            <w:r>
              <w:rPr>
                <w:rFonts w:ascii="Microsoft YaHei" w:cs="Microsoft YaHei" w:eastAsia="Microsoft YaHei" w:hAnsi="Microsoft YaHei"/>
                <w:color w:val="1f2329"/>
                <w:spacing w:val="13"/>
                <w:position w:val="-1"/>
              </w:rPr>
              <w:t>不变量</w:t>
            </w:r>
          </w:p>
          <w:p w14:paraId="285FF24D">
            <w:pPr>
              <w:pStyle w:val="style4098"/>
              <w:spacing w:before="54" w:lineRule="auto" w:line="190"/>
              <w:ind w:left="2874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5"/>
              </w:rPr>
              <w:t>（</w:t>
            </w:r>
            <w:r>
              <w:rPr>
                <w:color w:val="1f2329"/>
                <w:spacing w:val="5"/>
              </w:rPr>
              <w:t>$\</w:t>
            </w:r>
            <w:r>
              <w:rPr>
                <w:color w:val="1f2329"/>
              </w:rPr>
              <w:t>sqrt</w:t>
            </w:r>
            <w:r>
              <w:rPr>
                <w:color w:val="1f2329"/>
                <w:spacing w:val="5"/>
              </w:rPr>
              <w:t>{</w:t>
            </w:r>
          </w:p>
        </w:tc>
      </w:tr>
      <w:tr w14:paraId="2652069E">
        <w:tblPrEx/>
        <w:trPr>
          <w:trHeight w:val="7072" w:hRule="atLeast"/>
        </w:trPr>
        <w:tc>
          <w:tcPr>
            <w:tcW w:w="741" w:type="dxa"/>
            <w:tcBorders>
              <w:bottom w:val="nil"/>
            </w:tcBorders>
          </w:tcPr>
          <w:p w14:paraId="30372C7A">
            <w:pPr>
              <w:pStyle w:val="style0"/>
              <w:spacing w:before="186" w:lineRule="auto" w:line="233"/>
              <w:ind w:left="155" w:right="155" w:firstLine="2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w w:val="97"/>
                <w:sz w:val="21"/>
                <w:szCs w:val="21"/>
              </w:rPr>
              <w:t>第一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步：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对电</w:t>
            </w:r>
            <w:r>
              <w:rPr>
                <w:rFonts w:ascii="Microsoft YaHei" w:cs="Microsoft YaHei" w:eastAsia="Microsoft YaHei" w:hAnsi="Microsoft YaHei"/>
                <w:color w:val="1f2329"/>
                <w:spacing w:val="-4"/>
                <w:w w:val="98"/>
                <w:sz w:val="21"/>
                <w:szCs w:val="21"/>
              </w:rPr>
              <w:t>场方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程取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旋度</w:t>
            </w:r>
          </w:p>
        </w:tc>
        <w:tc>
          <w:tcPr>
            <w:tcW w:w="3460" w:type="dxa"/>
            <w:tcBorders>
              <w:bottom w:val="nil"/>
            </w:tcBorders>
          </w:tcPr>
          <w:p w14:paraId="FE81D0FA">
            <w:pPr>
              <w:pStyle w:val="style4098"/>
              <w:spacing w:before="147" w:lineRule="auto" w:line="192"/>
              <w:ind w:left="1289" w:right="210" w:hanging="1079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6"/>
                <w:position w:val="-1"/>
              </w:rPr>
              <w:t xml:space="preserve">对 </w:t>
            </w:r>
            <w:r>
              <w:rPr>
                <w:i/>
                <w:iCs/>
                <w:color w:val="1f2329"/>
                <w:spacing w:val="6"/>
                <w:position w:val="1"/>
              </w:rPr>
              <w:t xml:space="preserve">E 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 xml:space="preserve">= </w:t>
            </w:r>
            <w:r>
              <w:rPr>
                <w:rFonts w:ascii="Malgun Gothic" w:cs="Malgun Gothic" w:eastAsia="Malgun Gothic" w:hAnsi="Malgun Gothic"/>
                <w:color w:val="1f2329"/>
                <w:spacing w:val="-48"/>
                <w:w w:val="89"/>
                <w:position w:val="1"/>
              </w:rPr>
              <w:t>—</w:t>
            </w:r>
            <w:r>
              <w:rPr>
                <w:i/>
                <w:iCs/>
                <w:color w:val="1f2329"/>
                <w:spacing w:val="6"/>
                <w:position w:val="1"/>
              </w:rPr>
              <w:t xml:space="preserve">f 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>.</w:t>
            </w:r>
            <w:r>
              <w:rPr>
                <w:rFonts w:ascii="Malgun Gothic" w:cs="Malgun Gothic" w:eastAsia="Malgun Gothic" w:hAnsi="Malgun Gothic"/>
                <w:color w:val="1f2329"/>
                <w:spacing w:val="-4"/>
                <w:position w:val="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>∂</w:t>
            </w:r>
            <w:r>
              <w:rPr>
                <w:i/>
                <w:iCs/>
                <w:color w:val="1f2329"/>
                <w:spacing w:val="6"/>
                <w:position w:val="1"/>
              </w:rPr>
              <w:t>A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</w:rPr>
              <w:t>/∂</w:t>
            </w:r>
            <w:r>
              <w:rPr>
                <w:i/>
                <w:iCs/>
                <w:color w:val="1f2329"/>
                <w:spacing w:val="6"/>
              </w:rPr>
              <w:t xml:space="preserve">t </w:t>
            </w:r>
            <w:r>
              <w:rPr>
                <w:rFonts w:ascii="Microsoft YaHei" w:cs="Microsoft YaHei" w:eastAsia="Microsoft YaHei" w:hAnsi="Microsoft YaHei"/>
                <w:color w:val="1f2329"/>
                <w:spacing w:val="6"/>
              </w:rPr>
              <w:t>两侧取欧式旋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</w:rPr>
              <w:t>度：</w:t>
            </w:r>
            <w:r>
              <w:rPr>
                <w:color w:val="1f2329"/>
                <w:spacing w:val="5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5"/>
              </w:rPr>
              <w:t>&gt;</w:t>
            </w:r>
          </w:p>
          <w:p w14:paraId="F6A21088">
            <w:pPr>
              <w:pStyle w:val="style4098"/>
              <w:ind w:left="238"/>
              <w:rPr>
                <w:rFonts w:ascii="Microsoft YaHei" w:cs="Microsoft YaHei" w:eastAsia="Microsoft YaHei" w:hAnsi="Microsoft YaHei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</w:rPr>
              <w:t>∇</w:t>
            </w:r>
            <w:r>
              <w:rPr>
                <w:rFonts w:ascii="MS Gothic" w:cs="MS Gothic" w:eastAsia="MS Gothic" w:hAnsi="MS Gothic"/>
                <w:color w:val="1f2329"/>
                <w:spacing w:val="-2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</w:rPr>
              <w:t>×</w:t>
            </w:r>
            <w:r>
              <w:rPr>
                <w:rFonts w:ascii="MS Gothic" w:cs="MS Gothic" w:eastAsia="MS Gothic" w:hAnsi="MS Gothic"/>
                <w:color w:val="1f2329"/>
                <w:spacing w:val="-42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22"/>
              </w:rPr>
              <w:t xml:space="preserve">E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1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</w:rPr>
              <w:t>−</w:t>
            </w:r>
            <w:r>
              <w:rPr>
                <w:b/>
                <w:bCs/>
                <w:i/>
                <w:iCs/>
                <w:color w:val="1f2329"/>
              </w:rPr>
              <w:t>f</w:t>
            </w:r>
            <w:r>
              <w:rPr>
                <w:b/>
                <w:bCs/>
                <w:i/>
                <w:iCs/>
                <w:color w:val="1f2329"/>
                <w:spacing w:val="15"/>
                <w:w w:val="101"/>
              </w:rPr>
              <w:t xml:space="preserve"> </w:t>
            </w:r>
            <w:r>
              <w:rPr>
                <w:position w:val="-17"/>
              </w:rPr>
              <w:drawing>
                <wp:inline distL="0" distT="0" distB="0" distR="0">
                  <wp:extent cx="710204" cy="336289"/>
                  <wp:effectExtent l="0" t="0" r="0" b="0"/>
                  <wp:docPr id="1027" name="IM 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4"/>
                          <pic:cNvPicPr/>
                        </pic:nvPicPr>
                        <pic:blipFill>
                          <a:blip r:embed="rId3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10204" cy="336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22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22"/>
              </w:rPr>
              <w:t>规</w:t>
            </w:r>
          </w:p>
          <w:p w14:paraId="93C42126">
            <w:pPr>
              <w:pStyle w:val="style4098"/>
              <w:spacing w:before="28" w:lineRule="auto" w:line="190"/>
              <w:ind w:left="226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则：</w:t>
            </w:r>
            <w:r>
              <w:rPr>
                <w:rFonts w:ascii="Microsoft YaHei" w:cs="Microsoft YaHei" w:eastAsia="Microsoft YaHei" w:hAnsi="Microsoft YaHei"/>
                <w:color w:val="1f2329"/>
                <w:spacing w:val="31"/>
              </w:rPr>
              <w:t xml:space="preserve"> </w:t>
            </w:r>
            <w:r>
              <w:rPr>
                <w:i/>
                <w:iCs/>
                <w:color w:val="1f2329"/>
                <w:spacing w:val="-1"/>
                <w:position w:val="2"/>
              </w:rPr>
              <w:t>f</w:t>
            </w:r>
            <w:r>
              <w:rPr>
                <w:i/>
                <w:iCs/>
                <w:color w:val="1f2329"/>
                <w:spacing w:val="38"/>
                <w:w w:val="101"/>
                <w:position w:val="2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为常数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，可从旋度算子中</w:t>
            </w:r>
          </w:p>
          <w:p w14:paraId="AF8E4C3E">
            <w:pPr>
              <w:pStyle w:val="style0"/>
              <w:spacing w:before="59" w:lineRule="auto" w:line="186"/>
              <w:ind w:left="151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提取</w:t>
            </w:r>
          </w:p>
        </w:tc>
        <w:tc>
          <w:tcPr>
            <w:tcW w:w="6553" w:type="dxa"/>
            <w:tcBorders>
              <w:bottom w:val="nil"/>
            </w:tcBorders>
          </w:tcPr>
          <w:p w14:paraId="2B73A7CD">
            <w:pPr>
              <w:pStyle w:val="style4098"/>
              <w:spacing w:before="182" w:lineRule="auto" w:line="196"/>
              <w:ind w:left="168" w:right="228"/>
              <w:jc w:val="right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</w:rPr>
              <w:t>对电磁场张量协变形式取外微分（几何旋度等价</w:t>
            </w:r>
            <w:r>
              <w:rPr>
                <w:rFonts w:ascii="Microsoft YaHei" w:cs="Microsoft YaHei" w:eastAsia="Microsoft YaHei" w:hAnsi="Microsoft YaHei"/>
                <w:color w:val="1f2329"/>
                <w:spacing w:val="4"/>
              </w:rPr>
              <w:t>），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 xml:space="preserve">结合 </w:t>
            </w:r>
            <w:r>
              <w:rPr>
                <w:i/>
                <w:iCs/>
                <w:color w:val="1f2329"/>
              </w:rPr>
              <w:t xml:space="preserve">E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 xml:space="preserve">是 </w:t>
            </w:r>
            <w:r>
              <w:rPr>
                <w:i/>
                <w:iCs/>
                <w:color w:val="1f2329"/>
              </w:rPr>
              <w:t>F</w:t>
            </w:r>
            <w:r>
              <w:rPr>
                <w:i/>
                <w:iCs/>
                <w:color w:val="1f2329"/>
                <w:position w:val="-2"/>
              </w:rPr>
              <w:t>μν</w:t>
            </w:r>
            <w:r>
              <w:rPr>
                <w:rFonts w:ascii="Microsoft YaHei" w:cs="Microsoft YaHei" w:eastAsia="Microsoft YaHei" w:hAnsi="Microsoft YaHei"/>
                <w:color w:val="1f2329"/>
                <w:spacing w:val="17"/>
              </w:rPr>
              <w:t>分量：</w:t>
            </w:r>
            <w:r>
              <w:rPr>
                <w:color w:val="1f2329"/>
                <w:spacing w:val="17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7"/>
              </w:rPr>
              <w:t xml:space="preserve">&gt; </w:t>
            </w:r>
            <w:r>
              <w:rPr>
                <w:b/>
                <w:bCs/>
                <w:i/>
                <w:iCs/>
                <w:color w:val="1f2329"/>
              </w:rPr>
              <w:t>dF</w:t>
            </w:r>
            <w:r>
              <w:rPr>
                <w:b/>
                <w:bCs/>
                <w:i/>
                <w:iCs/>
                <w:color w:val="1f2329"/>
                <w:spacing w:val="28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28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7"/>
              </w:rPr>
              <w:t>λF</w:t>
            </w:r>
            <w:r>
              <w:rPr>
                <w:b/>
                <w:bCs/>
                <w:i/>
                <w:iCs/>
                <w:color w:val="1f2329"/>
                <w:spacing w:val="17"/>
                <w:position w:val="-2"/>
              </w:rPr>
              <w:t>μν</w:t>
            </w:r>
            <w:r>
              <w:rPr>
                <w:b/>
                <w:bCs/>
                <w:i/>
                <w:iCs/>
                <w:color w:val="1f2329"/>
                <w:spacing w:val="27"/>
                <w:position w:val="-2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+</w:t>
            </w:r>
            <w:r>
              <w:rPr>
                <w:rFonts w:ascii="MS Gothic" w:cs="MS Gothic" w:eastAsia="MS Gothic" w:hAnsi="MS Gothic"/>
                <w:color w:val="1f2329"/>
                <w:spacing w:val="-3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7"/>
              </w:rPr>
              <w:t xml:space="preserve">μFνλ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+</w:t>
            </w:r>
            <w:r>
              <w:rPr>
                <w:rFonts w:ascii="MS Gothic" w:cs="MS Gothic" w:eastAsia="MS Gothic" w:hAnsi="MS Gothic"/>
                <w:color w:val="1f2329"/>
                <w:spacing w:val="-40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7"/>
              </w:rPr>
              <w:t>νFλμ</w:t>
            </w:r>
            <w:r>
              <w:rPr>
                <w:b/>
                <w:bCs/>
                <w:i/>
                <w:iCs/>
                <w:color w:val="1f2329"/>
                <w:spacing w:val="33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30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7"/>
              </w:rPr>
              <w:t>0</w:t>
            </w:r>
            <w:r>
              <w:rPr>
                <w:rFonts w:ascii="MS Gothic" w:cs="MS Gothic" w:eastAsia="MS Gothic" w:hAnsi="MS Gothic"/>
                <w:color w:val="1f2329"/>
                <w:spacing w:val="-51"/>
              </w:rPr>
              <w:t xml:space="preserve"> </w:t>
            </w:r>
            <w:r>
              <w:rPr>
                <w:color w:val="1f2329"/>
                <w:spacing w:val="17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7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17"/>
              </w:rPr>
              <w:t>代入</w:t>
            </w:r>
          </w:p>
          <w:p w14:paraId="93185CEC">
            <w:pPr>
              <w:pStyle w:val="style0"/>
              <w:spacing w:lineRule="exact" w:line="531"/>
              <w:ind w:left="351"/>
              <w:rPr/>
            </w:pPr>
            <w:r>
              <w:rPr>
                <w:position w:val="-11"/>
              </w:rPr>
              <w:drawing>
                <wp:inline distL="0" distT="0" distB="0" distR="0">
                  <wp:extent cx="3711836" cy="337347"/>
                  <wp:effectExtent l="0" t="0" r="0" b="0"/>
                  <wp:docPr id="1028" name="IM 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6"/>
                          <pic:cNvPicPr/>
                        </pic:nvPicPr>
                        <pic:blipFill>
                          <a:blip r:embed="rId4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711836" cy="3373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7B439BE">
            <w:pPr>
              <w:pStyle w:val="style4098"/>
              <w:spacing w:before="61" w:lineRule="auto" w:line="217"/>
              <w:ind w:left="441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3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3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 xml:space="preserve">规则： 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36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是几何不变量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，</w:t>
            </w:r>
            <w:r>
              <w:rPr>
                <w:rFonts w:ascii="Microsoft YaHei" w:cs="Microsoft YaHei" w:eastAsia="Microsoft YaHei" w:hAnsi="Microsoft YaHei"/>
                <w:color w:val="1f2329"/>
                <w:spacing w:val="-1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3"/>
              </w:rPr>
              <w:t>∇</w:t>
            </w:r>
            <w:r>
              <w:rPr>
                <w:i/>
                <w:iCs/>
                <w:color w:val="1f2329"/>
                <w:spacing w:val="3"/>
              </w:rPr>
              <w:t>λ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33"/>
                <w:w w:val="10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3"/>
              </w:rPr>
              <w:t xml:space="preserve">= 0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 xml:space="preserve">，故 </w:t>
            </w:r>
            <w:r>
              <w:rPr>
                <w:rFonts w:ascii="Malgun Gothic" w:cs="Malgun Gothic" w:eastAsia="Malgun Gothic" w:hAnsi="Malgun Gothic"/>
                <w:color w:val="1f2329"/>
                <w:spacing w:val="3"/>
              </w:rPr>
              <w:t>1/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2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可提取</w:t>
            </w:r>
          </w:p>
        </w:tc>
      </w:tr>
    </w:tbl>
    <w:p w14:paraId="D23F9B4A">
      <w:pPr>
        <w:pStyle w:val="style0"/>
        <w:rPr>
          <w:rFonts w:ascii="Arial"/>
          <w:sz w:val="21"/>
        </w:rPr>
      </w:pPr>
    </w:p>
    <w:p w14:paraId="115B5C89">
      <w:pPr>
        <w:pStyle w:val="style0"/>
        <w:rPr>
          <w:rFonts w:ascii="Arial" w:cs="Arial" w:eastAsia="Arial" w:hAnsi="Arial"/>
          <w:sz w:val="21"/>
          <w:szCs w:val="21"/>
        </w:rPr>
        <w:sectPr>
          <w:pgSz w:w="11900" w:h="16820" w:orient="portrait"/>
          <w:pgMar w:top="1341" w:right="569" w:bottom="0" w:left="559" w:header="0" w:footer="0" w:gutter="0"/>
        </w:sectPr>
      </w:pPr>
    </w:p>
    <w:tbl>
      <w:tblPr>
        <w:tblStyle w:val="style4097"/>
        <w:tblW w:w="1075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</w:tblPr>
      <w:tblGrid>
        <w:gridCol w:w="741"/>
        <w:gridCol w:w="3460"/>
        <w:gridCol w:w="766"/>
        <w:gridCol w:w="5787"/>
      </w:tblGrid>
      <w:tr w14:paraId="DBB1335C">
        <w:trPr>
          <w:trHeight w:val="1177" w:hRule="atLeast"/>
        </w:trPr>
        <w:tc>
          <w:tcPr>
            <w:tcW w:w="741" w:type="dxa"/>
            <w:tcBorders>
              <w:top w:val="nil"/>
            </w:tcBorders>
          </w:tcPr>
          <w:p w14:paraId="7372D942">
            <w:pPr>
              <w:pStyle w:val="style4098"/>
              <w:rPr/>
            </w:pPr>
          </w:p>
        </w:tc>
        <w:tc>
          <w:tcPr>
            <w:tcW w:w="3460" w:type="dxa"/>
            <w:tcBorders>
              <w:top w:val="nil"/>
            </w:tcBorders>
          </w:tcPr>
          <w:p w14:paraId="B786DC9D">
            <w:pPr>
              <w:pStyle w:val="style4098"/>
              <w:rPr/>
            </w:pPr>
          </w:p>
        </w:tc>
        <w:tc>
          <w:tcPr>
            <w:tcW w:w="6553" w:type="dxa"/>
            <w:gridSpan w:val="2"/>
            <w:tcBorders>
              <w:top w:val="nil"/>
            </w:tcBorders>
          </w:tcPr>
          <w:p w14:paraId="E0CD31E5">
            <w:pPr>
              <w:pStyle w:val="style4098"/>
              <w:rPr/>
            </w:pPr>
          </w:p>
        </w:tc>
      </w:tr>
      <w:tr w14:paraId="C546C98D">
        <w:tblPrEx/>
        <w:trPr>
          <w:trHeight w:val="9900" w:hRule="atLeast"/>
        </w:trPr>
        <w:tc>
          <w:tcPr>
            <w:tcW w:w="741" w:type="dxa"/>
            <w:tcBorders/>
          </w:tcPr>
          <w:p w14:paraId="CB1BCF44">
            <w:pPr>
              <w:pStyle w:val="style0"/>
              <w:spacing w:before="185" w:lineRule="auto" w:line="233"/>
              <w:ind w:left="152" w:right="155" w:firstLine="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6"/>
                <w:w w:val="98"/>
                <w:sz w:val="21"/>
                <w:szCs w:val="21"/>
              </w:rPr>
              <w:t>第二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步：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交换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微分</w:t>
            </w:r>
            <w:r>
              <w:rPr>
                <w:rFonts w:ascii="Microsoft YaHei" w:cs="Microsoft YaHei" w:eastAsia="Microsoft YaHei" w:hAnsi="Microsoft YaHei"/>
                <w:color w:val="1f2329"/>
                <w:spacing w:val="-6"/>
                <w:w w:val="99"/>
                <w:sz w:val="21"/>
                <w:szCs w:val="21"/>
              </w:rPr>
              <w:t>算子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顺序</w:t>
            </w:r>
          </w:p>
        </w:tc>
        <w:tc>
          <w:tcPr>
            <w:tcW w:w="3460" w:type="dxa"/>
            <w:tcBorders/>
          </w:tcPr>
          <w:p w14:paraId="E4C38ABB">
            <w:pPr>
              <w:pStyle w:val="style4098"/>
              <w:spacing w:before="182" w:lineRule="auto" w:line="189"/>
              <w:ind w:left="986" w:right="150" w:hanging="835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利用欧式矢量恒等式</w:t>
            </w:r>
            <w:r>
              <w:rPr>
                <w:rFonts w:ascii="Microsoft YaHei" w:cs="Microsoft YaHei" w:eastAsia="Microsoft YaHei" w:hAnsi="Microsoft YaHei"/>
                <w:color w:val="1f2329"/>
                <w:spacing w:val="-26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，交换旋度与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时间偏导：</w:t>
            </w:r>
            <w:r>
              <w:rPr>
                <w:color w:val="1f2329"/>
                <w:spacing w:val="1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"/>
              </w:rPr>
              <w:t>&gt;</w:t>
            </w:r>
          </w:p>
          <w:p w14:paraId="BF7BC2F6">
            <w:pPr>
              <w:pStyle w:val="style4098"/>
              <w:ind w:left="247"/>
              <w:rPr>
                <w:rFonts w:ascii="Microsoft YaHei" w:cs="Microsoft YaHei" w:eastAsia="Microsoft YaHei" w:hAnsi="Microsoft YaHei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∇</w:t>
            </w:r>
            <w:r>
              <w:rPr>
                <w:rFonts w:ascii="MS Gothic" w:cs="MS Gothic" w:eastAsia="MS Gothic" w:hAnsi="MS Gothic"/>
                <w:color w:val="1f2329"/>
                <w:spacing w:val="-24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×</w:t>
            </w:r>
            <w:r>
              <w:rPr>
                <w:rFonts w:ascii="MS Gothic" w:cs="MS Gothic" w:eastAsia="MS Gothic" w:hAnsi="MS Gothic"/>
                <w:color w:val="1f2329"/>
                <w:spacing w:val="-26"/>
              </w:rPr>
              <w:t xml:space="preserve"> </w:t>
            </w:r>
            <w:r>
              <w:rPr>
                <w:position w:val="-17"/>
              </w:rPr>
              <w:drawing>
                <wp:inline distL="0" distT="0" distB="0" distR="0">
                  <wp:extent cx="210534" cy="336289"/>
                  <wp:effectExtent l="0" t="0" r="0" b="0"/>
                  <wp:docPr id="1029" name="IM 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8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0534" cy="336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cs="MS Gothic" w:eastAsia="MS Gothic" w:hAnsi="MS Gothic"/>
                <w:color w:val="1f2329"/>
                <w:spacing w:val="-10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6"/>
              </w:rPr>
              <w:t xml:space="preserve"> </w:t>
            </w:r>
            <w:r>
              <w:rPr>
                <w:position w:val="-17"/>
              </w:rPr>
              <w:drawing>
                <wp:inline distL="0" distT="0" distB="0" distR="0">
                  <wp:extent cx="152400" cy="336289"/>
                  <wp:effectExtent l="0" t="0" r="0" b="0"/>
                  <wp:docPr id="1030" name="IM 10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10"/>
                          <pic:cNvPicPr/>
                        </pic:nvPicPr>
                        <pic:blipFill>
                          <a:blip r:embed="rId6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52400" cy="3362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(∇</w:t>
            </w:r>
            <w:r>
              <w:rPr>
                <w:rFonts w:ascii="MS Gothic" w:cs="MS Gothic" w:eastAsia="MS Gothic" w:hAnsi="MS Gothic"/>
                <w:color w:val="1f2329"/>
                <w:spacing w:val="-2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×</w:t>
            </w:r>
            <w:r>
              <w:rPr>
                <w:rFonts w:ascii="MS Gothic" w:cs="MS Gothic" w:eastAsia="MS Gothic" w:hAnsi="MS Gothic"/>
                <w:color w:val="1f2329"/>
                <w:spacing w:val="-42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-6"/>
              </w:rPr>
              <w:t>A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-6"/>
              </w:rPr>
              <w:t>)</w:t>
            </w:r>
            <w:r>
              <w:rPr>
                <w:rFonts w:ascii="MS Gothic" w:cs="MS Gothic" w:eastAsia="MS Gothic" w:hAnsi="MS Gothic"/>
                <w:color w:val="1f2329"/>
                <w:spacing w:val="-53"/>
              </w:rPr>
              <w:t xml:space="preserve"> </w:t>
            </w:r>
            <w:r>
              <w:rPr>
                <w:color w:val="1f2329"/>
                <w:spacing w:val="-6"/>
              </w:rPr>
              <w:t>&lt;br&gt;</w:t>
            </w:r>
            <w:r>
              <w:rPr>
                <w:rFonts w:ascii="Microsoft YaHei" w:cs="Microsoft YaHei" w:eastAsia="Microsoft YaHei" w:hAnsi="Microsoft YaHei"/>
                <w:color w:val="1f2329"/>
                <w:spacing w:val="-6"/>
              </w:rPr>
              <w:t>规</w:t>
            </w:r>
          </w:p>
          <w:p w14:paraId="502E28F9">
            <w:pPr>
              <w:pStyle w:val="style0"/>
              <w:spacing w:before="29" w:lineRule="auto" w:line="190"/>
              <w:ind w:left="154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6"/>
                <w:sz w:val="21"/>
                <w:szCs w:val="21"/>
              </w:rPr>
              <w:t>则</w:t>
            </w:r>
            <w:r>
              <w:rPr>
                <w:rFonts w:ascii="Microsoft YaHei" w:cs="Microsoft YaHei" w:eastAsia="Microsoft YaHei" w:hAnsi="Microsoft YaHei"/>
                <w:color w:val="1f2329"/>
                <w:spacing w:val="-12"/>
                <w:sz w:val="21"/>
                <w:szCs w:val="2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6"/>
                <w:sz w:val="21"/>
                <w:szCs w:val="21"/>
              </w:rPr>
              <w:t>：欧式平直时空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  <w:sz w:val="21"/>
                <w:szCs w:val="2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6"/>
                <w:sz w:val="21"/>
                <w:szCs w:val="21"/>
              </w:rPr>
              <w:t>，偏微分算子可</w:t>
            </w:r>
          </w:p>
          <w:p w14:paraId="571EB249">
            <w:pPr>
              <w:pStyle w:val="style0"/>
              <w:spacing w:before="59" w:lineRule="auto" w:line="185"/>
              <w:ind w:left="1304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任意交换</w:t>
            </w:r>
          </w:p>
        </w:tc>
        <w:tc>
          <w:tcPr>
            <w:tcW w:w="6553" w:type="dxa"/>
            <w:gridSpan w:val="2"/>
            <w:tcBorders/>
          </w:tcPr>
          <w:p w14:paraId="4B328DC6">
            <w:pPr>
              <w:pStyle w:val="style4098"/>
              <w:spacing w:before="183" w:lineRule="auto" w:line="195"/>
              <w:ind w:left="134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利用协变微分恒等式</w:t>
            </w:r>
            <w:r>
              <w:rPr>
                <w:rFonts w:ascii="Microsoft YaHei" w:cs="Microsoft YaHei" w:eastAsia="Microsoft YaHei" w:hAnsi="Microsoft YaHei"/>
                <w:color w:val="1f2329"/>
                <w:spacing w:val="-19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，交换协变导数与</w:t>
            </w:r>
            <w:r>
              <w:rPr>
                <w:color w:val="1f2329"/>
                <w:spacing w:val="-2"/>
              </w:rPr>
              <w:t>4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速</w:t>
            </w:r>
            <w:r>
              <w:rPr>
                <w:color w:val="1f2329"/>
                <w:spacing w:val="-2"/>
              </w:rPr>
              <w:t>/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偏离矢量的微分（</w:t>
            </w:r>
            <w:r>
              <w:rPr>
                <w:rFonts w:ascii="Microsoft YaHei" w:cs="Microsoft YaHei" w:eastAsia="Microsoft YaHei" w:hAnsi="Microsoft YaHei"/>
                <w:color w:val="1f2329"/>
                <w:spacing w:val="-3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固有时</w:t>
            </w:r>
          </w:p>
          <w:p w14:paraId="6C33E8EC">
            <w:pPr>
              <w:pStyle w:val="style4098"/>
              <w:spacing w:before="50" w:lineRule="auto" w:line="192"/>
              <w:ind w:left="2781"/>
              <w:rPr/>
            </w:pPr>
            <w:r>
              <w:rPr>
                <w:i/>
                <w:iCs/>
                <w:color w:val="1f2329"/>
                <w:position w:val="2"/>
              </w:rPr>
              <w:t>τ</w:t>
            </w:r>
            <w:r>
              <w:rPr>
                <w:i/>
                <w:iCs/>
                <w:color w:val="1f2329"/>
                <w:spacing w:val="36"/>
                <w:w w:val="101"/>
                <w:position w:val="2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)</w:t>
            </w:r>
            <w:r>
              <w:rPr>
                <w:rFonts w:ascii="Microsoft YaHei" w:cs="Microsoft YaHei" w:eastAsia="Microsoft YaHei" w:hAnsi="Microsoft YaHei"/>
                <w:color w:val="1f2329"/>
                <w:spacing w:val="29"/>
              </w:rPr>
              <w:t xml:space="preserve"> 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：</w:t>
            </w:r>
            <w:r>
              <w:rPr>
                <w:color w:val="1f2329"/>
              </w:rPr>
              <w:t>&lt;br&gt;</w:t>
            </w:r>
          </w:p>
          <w:p w14:paraId="169DC0DE">
            <w:pPr>
              <w:pStyle w:val="style4098"/>
              <w:spacing w:before="2" w:lineRule="auto" w:line="202"/>
              <w:ind w:left="1352" w:right="178" w:hanging="1115"/>
              <w:rPr/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15"/>
                <w:position w:val="-1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5"/>
                <w:position w:val="-1"/>
              </w:rPr>
              <w:t>λ</w:t>
            </w:r>
            <w:r>
              <w:rPr>
                <w:rFonts w:ascii="Malgun Gothic" w:cs="Malgun Gothic" w:eastAsia="Malgun Gothic" w:hAnsi="Malgun Gothic"/>
                <w:color w:val="1f2329"/>
                <w:spacing w:val="15"/>
                <w:position w:val="-1"/>
              </w:rPr>
              <w:t>(</w:t>
            </w:r>
            <w:r>
              <w:rPr>
                <w:b/>
                <w:bCs/>
                <w:i/>
                <w:iCs/>
                <w:color w:val="1f2329"/>
                <w:spacing w:val="15"/>
              </w:rPr>
              <w:t>RμνρσUρ</w:t>
            </w:r>
            <w:r>
              <w:rPr>
                <w:b/>
                <w:bCs/>
                <w:i/>
                <w:iCs/>
                <w:color w:val="1f2329"/>
                <w:spacing w:val="-32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5"/>
              </w:rPr>
              <w:t>ξσ</w:t>
            </w:r>
            <w:r>
              <w:rPr>
                <w:b/>
                <w:bCs/>
                <w:i/>
                <w:iCs/>
                <w:color w:val="1f2329"/>
                <w:spacing w:val="-1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5"/>
              </w:rPr>
              <w:t>)</w:t>
            </w:r>
            <w:r>
              <w:rPr>
                <w:rFonts w:ascii="Malgun Gothic" w:cs="Malgun Gothic" w:eastAsia="Malgun Gothic" w:hAnsi="Malgun Gothic"/>
                <w:color w:val="1f2329"/>
                <w:spacing w:val="-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5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3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5"/>
              </w:rPr>
              <w:t>R</w:t>
            </w:r>
            <w:r>
              <w:rPr>
                <w:b/>
                <w:bCs/>
                <w:i/>
                <w:iCs/>
                <w:color w:val="1f2329"/>
                <w:spacing w:val="15"/>
                <w:position w:val="-3"/>
              </w:rPr>
              <w:t>μνρσ</w:t>
            </w:r>
            <w:r>
              <w:rPr>
                <w:b/>
                <w:bCs/>
                <w:i/>
                <w:iCs/>
                <w:color w:val="1f2329"/>
                <w:spacing w:val="33"/>
                <w:position w:val="-3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4"/>
                <w:position w:val="1"/>
              </w:rPr>
              <w:t>(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  <w:position w:val="1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4"/>
                <w:position w:val="1"/>
              </w:rPr>
              <w:t>λUρ</w:t>
            </w:r>
            <w:r>
              <w:rPr>
                <w:b/>
                <w:bCs/>
                <w:i/>
                <w:iCs/>
                <w:color w:val="1f2329"/>
                <w:spacing w:val="-32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4"/>
                <w:position w:val="1"/>
              </w:rPr>
              <w:t>ξσ</w:t>
            </w:r>
            <w:r>
              <w:rPr>
                <w:b/>
                <w:bCs/>
                <w:i/>
                <w:iCs/>
                <w:color w:val="1f2329"/>
                <w:spacing w:val="38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</w:rPr>
              <w:t>+</w:t>
            </w:r>
            <w:r>
              <w:rPr>
                <w:rFonts w:ascii="MS Gothic" w:cs="MS Gothic" w:eastAsia="MS Gothic" w:hAnsi="MS Gothic"/>
                <w:color w:val="1f2329"/>
                <w:spacing w:val="-38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4"/>
              </w:rPr>
              <w:t>Uρ</w:t>
            </w:r>
            <w:r>
              <w:rPr>
                <w:b/>
                <w:bCs/>
                <w:i/>
                <w:iCs/>
                <w:color w:val="1f2329"/>
                <w:spacing w:val="-26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4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4"/>
              </w:rPr>
              <w:t>λξσ</w:t>
            </w:r>
            <w:r>
              <w:rPr>
                <w:b/>
                <w:bCs/>
                <w:i/>
                <w:iCs/>
                <w:color w:val="1f2329"/>
                <w:spacing w:val="-1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4"/>
              </w:rPr>
              <w:t>)</w:t>
            </w:r>
            <w:r>
              <w:rPr>
                <w:rFonts w:ascii="Malgun Gothic" w:cs="Malgun Gothic" w:eastAsia="Malgun Gothic" w:hAnsi="Malgun Gothic"/>
                <w:color w:val="1f2329"/>
                <w:spacing w:val="-26"/>
              </w:rPr>
              <w:t xml:space="preserve"> </w:t>
            </w:r>
            <w:r>
              <w:rPr>
                <w:color w:val="1f2329"/>
                <w:spacing w:val="14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4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14"/>
              </w:rPr>
              <w:t>结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 xml:space="preserve">合测地线方程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∇</w:t>
            </w:r>
            <w:r>
              <w:rPr>
                <w:i/>
                <w:iCs/>
                <w:color w:val="1f2329"/>
                <w:spacing w:val="1"/>
              </w:rPr>
              <w:t>λUρ</w:t>
            </w:r>
            <w:r>
              <w:rPr>
                <w:i/>
                <w:iCs/>
                <w:color w:val="1f2329"/>
                <w:spacing w:val="28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 xml:space="preserve">= 0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，简化为：</w:t>
            </w:r>
            <w:r>
              <w:rPr>
                <w:color w:val="1f2329"/>
                <w:spacing w:val="1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"/>
              </w:rPr>
              <w:t>&gt;</w:t>
            </w:r>
          </w:p>
          <w:p w14:paraId="0C92F52F">
            <w:pPr>
              <w:pStyle w:val="style4098"/>
              <w:ind w:left="185"/>
              <w:rPr>
                <w:rFonts w:ascii="Malgun Gothic" w:cs="Malgun Gothic" w:eastAsia="Malgun Gothic" w:hAnsi="Malgun Gothic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18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λ</w:t>
            </w:r>
            <w:r>
              <w:rPr>
                <w:rFonts w:ascii="Malgun Gothic" w:cs="Malgun Gothic" w:eastAsia="Malgun Gothic" w:hAnsi="Malgun Gothic"/>
                <w:color w:val="1f2329"/>
                <w:spacing w:val="18"/>
              </w:rPr>
              <w:t>(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RμνρσUρ</w:t>
            </w:r>
            <w:r>
              <w:rPr>
                <w:b/>
                <w:bCs/>
                <w:i/>
                <w:iCs/>
                <w:color w:val="1f2329"/>
                <w:spacing w:val="-33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ξσ</w:t>
            </w:r>
            <w:r>
              <w:rPr>
                <w:b/>
                <w:bCs/>
                <w:i/>
                <w:iCs/>
                <w:color w:val="1f2329"/>
                <w:spacing w:val="-10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8"/>
              </w:rPr>
              <w:t>)</w:t>
            </w:r>
            <w:r>
              <w:rPr>
                <w:rFonts w:ascii="Malgun Gothic" w:cs="Malgun Gothic" w:eastAsia="Malgun Gothic" w:hAnsi="Malgun Gothic"/>
                <w:color w:val="1f2329"/>
                <w:spacing w:val="-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8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3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RμνρσUρ</w:t>
            </w:r>
            <w:r>
              <w:rPr>
                <w:b/>
                <w:bCs/>
                <w:i/>
                <w:iCs/>
                <w:color w:val="1f2329"/>
                <w:spacing w:val="-25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8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λξσ</w:t>
            </w:r>
            <w:r>
              <w:rPr>
                <w:b/>
                <w:bCs/>
                <w:i/>
                <w:iCs/>
                <w:color w:val="1f2329"/>
                <w:spacing w:val="49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8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19"/>
              </w:rPr>
              <w:t xml:space="preserve"> </w:t>
            </w:r>
            <w:r>
              <w:rPr>
                <w:position w:val="-17"/>
              </w:rPr>
              <w:drawing>
                <wp:inline distL="0" distT="0" distB="0" distR="0">
                  <wp:extent cx="180975" cy="327497"/>
                  <wp:effectExtent l="0" t="0" r="0" b="0"/>
                  <wp:docPr id="1031" name="IM 12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12"/>
                          <pic:cNvPicPr/>
                        </pic:nvPicPr>
                        <pic:blipFill>
                          <a:blip r:embed="rId7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80975" cy="3274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MS Gothic" w:cs="MS Gothic" w:eastAsia="MS Gothic" w:hAnsi="MS Gothic"/>
                <w:color w:val="1f2329"/>
                <w:spacing w:val="-2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8"/>
              </w:rPr>
              <w:t>(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RμνρσUρ</w:t>
            </w:r>
            <w:r>
              <w:rPr>
                <w:b/>
                <w:bCs/>
                <w:i/>
                <w:iCs/>
                <w:color w:val="1f2329"/>
                <w:spacing w:val="-32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18"/>
              </w:rPr>
              <w:t>ξσ</w:t>
            </w:r>
            <w:r>
              <w:rPr>
                <w:b/>
                <w:bCs/>
                <w:i/>
                <w:iCs/>
                <w:color w:val="1f2329"/>
                <w:spacing w:val="-1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8"/>
              </w:rPr>
              <w:t>)</w:t>
            </w:r>
          </w:p>
        </w:tc>
      </w:tr>
      <w:tr w14:paraId="14651E05">
        <w:tblPrEx/>
        <w:trPr>
          <w:trHeight w:val="4612" w:hRule="atLeast"/>
        </w:trPr>
        <w:tc>
          <w:tcPr>
            <w:tcW w:w="741" w:type="dxa"/>
            <w:tcBorders>
              <w:bottom w:val="nil"/>
            </w:tcBorders>
          </w:tcPr>
          <w:p w14:paraId="8AB597D5">
            <w:pPr>
              <w:pStyle w:val="style0"/>
              <w:spacing w:before="182" w:lineRule="auto" w:line="186"/>
              <w:ind w:left="157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第三</w:t>
            </w:r>
          </w:p>
          <w:p w14:paraId="42ECE297">
            <w:pPr>
              <w:pStyle w:val="style0"/>
              <w:spacing w:before="66" w:lineRule="auto" w:line="185"/>
              <w:ind w:left="159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5"/>
                <w:sz w:val="21"/>
                <w:szCs w:val="21"/>
              </w:rPr>
              <w:t>步：</w:t>
            </w:r>
          </w:p>
          <w:p w14:paraId="5F5AA92D">
            <w:pPr>
              <w:pStyle w:val="style0"/>
              <w:spacing w:before="67" w:lineRule="auto" w:line="186"/>
              <w:ind w:left="152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代入</w:t>
            </w:r>
          </w:p>
          <w:p w14:paraId="C09E93B0">
            <w:pPr>
              <w:pStyle w:val="style0"/>
              <w:spacing w:before="66" w:lineRule="auto" w:line="186"/>
              <w:ind w:left="259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z w:val="21"/>
                <w:szCs w:val="21"/>
              </w:rPr>
              <w:t>磁</w:t>
            </w:r>
          </w:p>
          <w:p w14:paraId="2E7E84C4">
            <w:pPr>
              <w:pStyle w:val="style4098"/>
              <w:spacing w:before="65" w:lineRule="auto" w:line="194"/>
              <w:ind w:left="223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8"/>
              </w:rPr>
              <w:t>场</w:t>
            </w:r>
            <w:r>
              <w:rPr>
                <w:color w:val="1f2329"/>
                <w:spacing w:val="8"/>
              </w:rPr>
              <w:t>/</w:t>
            </w:r>
          </w:p>
          <w:p w14:paraId="E251FBEE">
            <w:pPr>
              <w:pStyle w:val="style0"/>
              <w:spacing w:before="52" w:lineRule="auto" w:line="186"/>
              <w:ind w:left="168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10"/>
                <w:sz w:val="21"/>
                <w:szCs w:val="21"/>
              </w:rPr>
              <w:t>曲率</w:t>
            </w:r>
          </w:p>
          <w:p w14:paraId="587D7557">
            <w:pPr>
              <w:pStyle w:val="style0"/>
              <w:spacing w:before="67" w:lineRule="auto" w:line="185"/>
              <w:ind w:left="15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耦合</w:t>
            </w:r>
          </w:p>
          <w:p w14:paraId="BC130CFD">
            <w:pPr>
              <w:pStyle w:val="style0"/>
              <w:spacing w:before="67" w:lineRule="auto" w:line="186"/>
              <w:ind w:left="156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关系</w:t>
            </w:r>
          </w:p>
        </w:tc>
        <w:tc>
          <w:tcPr>
            <w:tcW w:w="3460" w:type="dxa"/>
            <w:tcBorders>
              <w:bottom w:val="nil"/>
            </w:tcBorders>
          </w:tcPr>
          <w:p w14:paraId="10009E33">
            <w:pPr>
              <w:pStyle w:val="style4098"/>
              <w:spacing w:before="148" w:lineRule="auto" w:line="194"/>
              <w:ind w:left="978" w:right="227" w:hanging="788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6"/>
                <w:position w:val="-1"/>
              </w:rPr>
              <w:t>代入原磁场方程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>∇ ×</w:t>
            </w:r>
            <w:r>
              <w:rPr>
                <w:rFonts w:ascii="Malgun Gothic" w:cs="Malgun Gothic" w:eastAsia="Malgun Gothic" w:hAnsi="Malgun Gothic"/>
                <w:color w:val="1f2329"/>
                <w:spacing w:val="-13"/>
                <w:position w:val="1"/>
              </w:rPr>
              <w:t xml:space="preserve"> </w:t>
            </w:r>
            <w:r>
              <w:rPr>
                <w:i/>
                <w:iCs/>
                <w:color w:val="1f2329"/>
                <w:spacing w:val="6"/>
                <w:position w:val="1"/>
              </w:rPr>
              <w:t>A</w:t>
            </w:r>
            <w:r>
              <w:rPr>
                <w:i/>
                <w:iCs/>
                <w:color w:val="1f2329"/>
                <w:spacing w:val="19"/>
                <w:position w:val="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 xml:space="preserve">= </w:t>
            </w:r>
            <w:r>
              <w:rPr>
                <w:i/>
                <w:iCs/>
                <w:color w:val="1f2329"/>
                <w:spacing w:val="6"/>
                <w:position w:val="1"/>
              </w:rPr>
              <w:t>B</w:t>
            </w:r>
            <w:r>
              <w:rPr>
                <w:i/>
                <w:iCs/>
                <w:color w:val="1f2329"/>
                <w:spacing w:val="-31"/>
                <w:position w:val="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6"/>
                <w:position w:val="1"/>
              </w:rPr>
              <w:t>/</w:t>
            </w:r>
            <w:r>
              <w:rPr>
                <w:i/>
                <w:iCs/>
                <w:color w:val="1f2329"/>
                <w:spacing w:val="6"/>
                <w:position w:val="1"/>
              </w:rPr>
              <w:t xml:space="preserve">f </w:t>
            </w:r>
            <w:r>
              <w:rPr>
                <w:rFonts w:ascii="Microsoft YaHei" w:cs="Microsoft YaHei" w:eastAsia="Microsoft YaHei" w:hAnsi="Microsoft YaHei"/>
                <w:color w:val="1f2329"/>
                <w:spacing w:val="6"/>
                <w:position w:val="-1"/>
              </w:rPr>
              <w:t>，</w:t>
            </w:r>
            <w:r>
              <w:rPr>
                <w:rFonts w:ascii="Microsoft YaHei" w:cs="Microsoft YaHei" w:eastAsia="Microsoft YaHei" w:hAnsi="Microsoft YaHei"/>
                <w:color w:val="1f2329"/>
                <w:spacing w:val="2"/>
              </w:rPr>
              <w:t>替换右侧：</w:t>
            </w:r>
            <w:r>
              <w:rPr>
                <w:color w:val="1f2329"/>
                <w:spacing w:val="2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2"/>
              </w:rPr>
              <w:t>&gt;</w:t>
            </w:r>
          </w:p>
          <w:p w14:paraId="DC5FA72D">
            <w:pPr>
              <w:pStyle w:val="style4098"/>
              <w:ind w:left="235"/>
              <w:rPr>
                <w:rFonts w:ascii="Microsoft YaHei" w:cs="Microsoft YaHei" w:eastAsia="Microsoft YaHei" w:hAnsi="Microsoft YaHei"/>
              </w:rPr>
            </w:pP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  <w:position w:val="1"/>
              </w:rPr>
              <w:t>∇</w:t>
            </w:r>
            <w:r>
              <w:rPr>
                <w:rFonts w:ascii="MS Gothic" w:cs="MS Gothic" w:eastAsia="MS Gothic" w:hAnsi="MS Gothic"/>
                <w:color w:val="1f2329"/>
                <w:spacing w:val="-29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  <w:position w:val="1"/>
              </w:rPr>
              <w:t>×</w:t>
            </w:r>
            <w:r>
              <w:rPr>
                <w:rFonts w:ascii="MS Gothic" w:cs="MS Gothic" w:eastAsia="MS Gothic" w:hAnsi="MS Gothic"/>
                <w:color w:val="1f2329"/>
                <w:spacing w:val="-42"/>
                <w:position w:val="1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spacing w:val="22"/>
                <w:position w:val="1"/>
              </w:rPr>
              <w:t xml:space="preserve">E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  <w:position w:val="1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19"/>
                <w:position w:val="1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22"/>
                <w:position w:val="1"/>
              </w:rPr>
              <w:t>−</w:t>
            </w:r>
            <w:r>
              <w:rPr>
                <w:b/>
                <w:bCs/>
                <w:i/>
                <w:iCs/>
                <w:color w:val="1f2329"/>
                <w:position w:val="1"/>
              </w:rPr>
              <w:t>f</w:t>
            </w:r>
            <w:r>
              <w:rPr>
                <w:b/>
                <w:bCs/>
                <w:i/>
                <w:iCs/>
                <w:color w:val="1f2329"/>
                <w:spacing w:val="15"/>
                <w:w w:val="101"/>
                <w:position w:val="1"/>
              </w:rPr>
              <w:t xml:space="preserve"> </w:t>
            </w:r>
            <w:r>
              <w:rPr>
                <w:position w:val="-18"/>
              </w:rPr>
              <w:drawing>
                <wp:inline distL="0" distT="0" distB="0" distR="0">
                  <wp:extent cx="714520" cy="346004"/>
                  <wp:effectExtent l="0" t="0" r="0" b="0"/>
                  <wp:docPr id="1032" name="IM 14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14"/>
                          <pic:cNvPicPr/>
                        </pic:nvPicPr>
                        <pic:blipFill>
                          <a:blip r:embed="rId8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714520" cy="346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329"/>
                <w:position w:val="-1"/>
              </w:rPr>
              <w:t>br</w:t>
            </w:r>
            <w:r>
              <w:rPr>
                <w:color w:val="1f2329"/>
                <w:spacing w:val="22"/>
                <w:position w:val="-1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22"/>
                <w:position w:val="-1"/>
              </w:rPr>
              <w:t>规</w:t>
            </w:r>
          </w:p>
          <w:p w14:paraId="A6380BBC">
            <w:pPr>
              <w:pStyle w:val="style4098"/>
              <w:spacing w:before="31" w:lineRule="auto" w:line="202"/>
              <w:ind w:left="184"/>
              <w:rPr/>
            </w:pP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-1"/>
              </w:rPr>
              <w:t>则：</w:t>
            </w:r>
            <w:r>
              <w:rPr>
                <w:rFonts w:ascii="Microsoft YaHei" w:cs="Microsoft YaHei" w:eastAsia="Microsoft YaHei" w:hAnsi="Microsoft YaHei"/>
                <w:color w:val="1f2329"/>
                <w:spacing w:val="28"/>
                <w:position w:val="-1"/>
              </w:rPr>
              <w:t xml:space="preserve"> </w:t>
            </w:r>
            <w:r>
              <w:rPr>
                <w:i/>
                <w:iCs/>
                <w:color w:val="1f2329"/>
                <w:spacing w:val="5"/>
                <w:position w:val="1"/>
              </w:rPr>
              <w:t>f</w:t>
            </w:r>
            <w:r>
              <w:rPr>
                <w:i/>
                <w:iCs/>
                <w:color w:val="1f2329"/>
                <w:spacing w:val="38"/>
                <w:position w:val="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-1"/>
              </w:rPr>
              <w:t>为常数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  <w:position w:val="-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  <w:position w:val="-1"/>
              </w:rPr>
              <w:t>，</w:t>
            </w:r>
            <w:r>
              <w:rPr>
                <w:rFonts w:ascii="Microsoft YaHei" w:cs="Microsoft YaHei" w:eastAsia="Microsoft YaHei" w:hAnsi="Microsoft YaHei"/>
                <w:color w:val="1f2329"/>
                <w:spacing w:val="5"/>
              </w:rPr>
              <w:t>与时间偏导</w:t>
            </w:r>
            <w:r>
              <w:rPr>
                <w:rFonts w:ascii="Malgun Gothic" w:cs="Malgun Gothic" w:eastAsia="Malgun Gothic" w:hAnsi="Malgun Gothic"/>
                <w:color w:val="1f2329"/>
                <w:spacing w:val="5"/>
              </w:rPr>
              <w:t>∂/∂</w:t>
            </w:r>
            <w:r>
              <w:rPr>
                <w:i/>
                <w:iCs/>
                <w:color w:val="1f2329"/>
                <w:spacing w:val="5"/>
              </w:rPr>
              <w:t>t</w:t>
            </w:r>
          </w:p>
          <w:p w14:paraId="76C4CB9B">
            <w:pPr>
              <w:pStyle w:val="style0"/>
              <w:spacing w:before="60" w:lineRule="auto" w:line="185"/>
              <w:ind w:left="1416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5"/>
                <w:sz w:val="21"/>
                <w:szCs w:val="21"/>
              </w:rPr>
              <w:t>可交换</w:t>
            </w:r>
          </w:p>
        </w:tc>
        <w:tc>
          <w:tcPr>
            <w:tcW w:w="766" w:type="dxa"/>
            <w:tcBorders>
              <w:bottom w:val="nil"/>
              <w:right w:val="nil"/>
            </w:tcBorders>
          </w:tcPr>
          <w:p w14:paraId="641F27EA">
            <w:pPr>
              <w:pStyle w:val="style0"/>
              <w:spacing w:before="182" w:lineRule="auto" w:line="285"/>
              <w:ind w:left="159" w:right="5" w:hanging="31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代入引</w:t>
            </w:r>
            <w:r>
              <w:rPr>
                <w:rFonts w:ascii="Microsoft YaHei" w:cs="Microsoft YaHei" w:eastAsia="Microsoft YaHei" w:hAnsi="Microsoft YaHei"/>
                <w:color w:val="1f2329"/>
                <w:spacing w:val="-16"/>
                <w:sz w:val="21"/>
                <w:szCs w:val="21"/>
              </w:rPr>
              <w:t>分量：</w:t>
            </w:r>
          </w:p>
        </w:tc>
        <w:tc>
          <w:tcPr>
            <w:tcW w:w="5787" w:type="dxa"/>
            <w:tcBorders>
              <w:left w:val="nil"/>
              <w:bottom w:val="nil"/>
            </w:tcBorders>
          </w:tcPr>
          <w:p w14:paraId="DF0B8D86">
            <w:pPr>
              <w:pStyle w:val="style4098"/>
              <w:spacing w:before="182" w:lineRule="auto" w:line="174"/>
              <w:ind w:left="6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力</w:t>
            </w:r>
            <w:r>
              <w:rPr>
                <w:color w:val="1f2329"/>
                <w:spacing w:val="-3"/>
              </w:rPr>
              <w:t>-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磁场几何耦合方程</w:t>
            </w:r>
            <w:r>
              <w:rPr>
                <w:rFonts w:ascii="Microsoft YaHei" w:cs="Microsoft YaHei" w:eastAsia="Microsoft YaHei" w:hAnsi="Microsoft YaHei"/>
                <w:color w:val="1f2329"/>
                <w:spacing w:val="-2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，替换电磁场张量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 xml:space="preserve">，结合 </w:t>
            </w:r>
            <w:r>
              <w:rPr>
                <w:i/>
                <w:iCs/>
                <w:color w:val="1f2329"/>
                <w:spacing w:val="-3"/>
                <w:position w:val="3"/>
              </w:rPr>
              <w:t>B</w:t>
            </w:r>
            <w:r>
              <w:rPr>
                <w:i/>
                <w:iCs/>
                <w:color w:val="1f2329"/>
                <w:spacing w:val="15"/>
                <w:position w:val="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 xml:space="preserve">是 </w:t>
            </w:r>
            <w:r>
              <w:rPr>
                <w:i/>
                <w:iCs/>
                <w:color w:val="1f2329"/>
                <w:spacing w:val="-3"/>
              </w:rPr>
              <w:t>F</w:t>
            </w:r>
            <w:r>
              <w:rPr>
                <w:i/>
                <w:iCs/>
                <w:color w:val="1f2329"/>
                <w:spacing w:val="-3"/>
                <w:position w:val="-2"/>
              </w:rPr>
              <w:t>μν</w:t>
            </w:r>
            <w:r>
              <w:rPr>
                <w:i/>
                <w:iCs/>
                <w:color w:val="1f2329"/>
                <w:spacing w:val="27"/>
                <w:w w:val="101"/>
                <w:position w:val="-2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3"/>
              </w:rPr>
              <w:t>空间</w:t>
            </w:r>
          </w:p>
          <w:p w14:paraId="E20F5817">
            <w:pPr>
              <w:pStyle w:val="style4098"/>
              <w:spacing w:before="109" w:lineRule="auto" w:line="203"/>
              <w:ind w:left="29"/>
              <w:rPr/>
            </w:pPr>
            <w:r>
              <w:rPr/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1033" type="#_x0000_t202" filled="f" stroked="f" style="position:absolute;margin-left:26.28pt;margin-top:-3.55pt;width:229.05pt;height:17.3pt;z-index:2;mso-position-horizontal-relative:text;mso-position-vertical-relative:text;mso-width-relative:page;mso-height-relative:page;mso-wrap-distance-left:0.0pt;mso-wrap-distance-right:0.0pt;visibility:visible;">
                  <v:stroke on="f"/>
                  <v:fill/>
                  <v:textbox inset="0.0pt,0.0pt,0.0pt,0.0pt">
                    <w:txbxContent>
                      <w:p w14:paraId="667F0F62">
                        <w:pPr>
                          <w:pStyle w:val="style4098"/>
                          <w:tabs>
                            <w:tab w:val="left" w:leader="none" w:pos="141"/>
                          </w:tabs>
                          <w:spacing w:before="19" w:lineRule="auto" w:line="239"/>
                          <w:ind w:left="20"/>
                          <w:rPr/>
                        </w:pPr>
                        <w:r>
                          <w:rPr>
                            <w:rFonts w:ascii="MS Gothic" w:cs="MS Gothic" w:eastAsia="MS Gothic" w:hAnsi="MS Gothic"/>
                            <w:color w:val="1f2329"/>
                            <w:position w:val="2"/>
                            <w:u w:val="single" w:color="auto"/>
                          </w:rPr>
                          <w:tab/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color w:val="1f2329"/>
                            <w:spacing w:val="-15"/>
                            <w:position w:val="2"/>
                            <w:u w:val="single" w:color="auto"/>
                          </w:rPr>
                          <w:t>1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15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2"/>
                            <w:position w:val="2"/>
                          </w:rPr>
                          <w:t xml:space="preserve">  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31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color w:val="1f2329"/>
                            <w:spacing w:val="-15"/>
                            <w:position w:val="2"/>
                            <w:u w:val="single" w:color="auto"/>
                          </w:rPr>
                          <w:t>∂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15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3"/>
                            <w:position w:val="2"/>
                          </w:rPr>
                          <w:t xml:space="preserve">         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5"/>
                            <w:position w:val="-3"/>
                          </w:rPr>
                          <w:t>ρ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16"/>
                            <w:w w:val="101"/>
                            <w:position w:val="-3"/>
                          </w:rPr>
                          <w:t xml:space="preserve"> 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5"/>
                            <w:position w:val="-3"/>
                          </w:rPr>
                          <w:t>σ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5"/>
                            <w:position w:val="-3"/>
                          </w:rPr>
                          <w:t xml:space="preserve">       </w:t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i/>
                            <w:iCs/>
                            <w:color w:val="1f2329"/>
                            <w:spacing w:val="-82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color w:val="1f2329"/>
                            <w:spacing w:val="-15"/>
                            <w:position w:val="2"/>
                            <w:u w:val="single" w:color="auto"/>
                          </w:rPr>
                          <w:t>∂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86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4"/>
                            <w:position w:val="3"/>
                            <w:u w:val="single" w:color="auto"/>
                          </w:rPr>
                          <w:t>F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4"/>
                            <w:u w:val="single" w:color="auto"/>
                          </w:rPr>
                          <w:t>μν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26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3"/>
                          </w:rPr>
                          <w:t xml:space="preserve">         </w:t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i/>
                            <w:iCs/>
                            <w:color w:val="1f2329"/>
                            <w:spacing w:val="-85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color w:val="1f2329"/>
                            <w:spacing w:val="-14"/>
                            <w:position w:val="2"/>
                            <w:u w:val="single" w:color="auto"/>
                          </w:rPr>
                          <w:t>∂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85"/>
                            <w:position w:val="2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4"/>
                            <w:position w:val="3"/>
                            <w:u w:val="single" w:color="auto"/>
                          </w:rPr>
                          <w:t>B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4"/>
                            <w:u w:val="single" w:color="auto"/>
                          </w:rPr>
                          <w:t>μ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7"/>
                            <w:u w:val="single" w:color="auto"/>
                          </w:rPr>
                          <w:t>ν</w:t>
                        </w:r>
                      </w:p>
                    </w:txbxContent>
                  </v:textbox>
                </v:shape>
              </w:pict>
            </w:r>
            <w:r>
              <w:rPr>
                <w:color w:val="1f2329"/>
                <w:spacing w:val="10"/>
                <w:position w:val="3"/>
              </w:rPr>
              <w:t>&lt;</w:t>
            </w:r>
            <w:r>
              <w:rPr>
                <w:color w:val="1f2329"/>
                <w:position w:val="3"/>
              </w:rPr>
              <w:t>br</w:t>
            </w:r>
            <w:r>
              <w:rPr>
                <w:color w:val="1f2329"/>
                <w:spacing w:val="10"/>
                <w:position w:val="3"/>
              </w:rPr>
              <w:t>&gt;</w:t>
            </w:r>
            <w:r>
              <w:rPr>
                <w:color w:val="1f2329"/>
                <w:spacing w:val="35"/>
                <w:w w:val="101"/>
                <w:position w:val="3"/>
              </w:rPr>
              <w:t xml:space="preserve"> </w:t>
            </w:r>
            <w:r>
              <w:rPr>
                <w:b/>
                <w:bCs/>
                <w:i/>
                <w:iCs/>
                <w:color w:val="1f2329"/>
                <w:position w:val="-8"/>
              </w:rPr>
              <w:t>fG</w:t>
            </w:r>
            <w:r>
              <w:rPr>
                <w:b/>
                <w:bCs/>
                <w:i/>
                <w:iCs/>
                <w:color w:val="1f2329"/>
                <w:spacing w:val="49"/>
                <w:position w:val="-8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6"/>
              </w:rPr>
              <w:t>.</w:t>
            </w:r>
            <w:r>
              <w:rPr>
                <w:rFonts w:ascii="MS Gothic" w:cs="MS Gothic" w:eastAsia="MS Gothic" w:hAnsi="MS Gothic"/>
                <w:color w:val="1f2329"/>
                <w:spacing w:val="-26"/>
                <w:position w:val="6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-7"/>
              </w:rPr>
              <w:t>∂</w:t>
            </w:r>
            <w:r>
              <w:rPr>
                <w:b/>
                <w:bCs/>
                <w:i/>
                <w:iCs/>
                <w:color w:val="1f2329"/>
                <w:spacing w:val="10"/>
                <w:position w:val="-7"/>
              </w:rPr>
              <w:t>τ</w:t>
            </w:r>
            <w:r>
              <w:rPr>
                <w:b/>
                <w:bCs/>
                <w:i/>
                <w:iCs/>
                <w:color w:val="1f2329"/>
                <w:spacing w:val="28"/>
                <w:w w:val="101"/>
                <w:position w:val="-7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0"/>
                <w:position w:val="6"/>
              </w:rPr>
              <w:t>(</w:t>
            </w:r>
            <w:r>
              <w:rPr>
                <w:b/>
                <w:bCs/>
                <w:i/>
                <w:iCs/>
                <w:color w:val="1f2329"/>
                <w:spacing w:val="10"/>
                <w:position w:val="3"/>
              </w:rPr>
              <w:t>RμνρσU</w:t>
            </w:r>
            <w:r>
              <w:rPr>
                <w:b/>
                <w:bCs/>
                <w:i/>
                <w:iCs/>
                <w:color w:val="1f2329"/>
                <w:spacing w:val="21"/>
                <w:position w:val="3"/>
              </w:rPr>
              <w:t xml:space="preserve">  </w:t>
            </w:r>
            <w:r>
              <w:rPr>
                <w:b/>
                <w:bCs/>
                <w:i/>
                <w:iCs/>
                <w:color w:val="1f2329"/>
                <w:spacing w:val="10"/>
                <w:position w:val="6"/>
              </w:rPr>
              <w:t xml:space="preserve">ξ   </w:t>
            </w:r>
            <w:r>
              <w:rPr>
                <w:rFonts w:ascii="Malgun Gothic" w:cs="Malgun Gothic" w:eastAsia="Malgun Gothic" w:hAnsi="Malgun Gothic"/>
                <w:color w:val="1f2329"/>
                <w:spacing w:val="10"/>
                <w:position w:val="6"/>
              </w:rPr>
              <w:t>)</w:t>
            </w:r>
            <w:r>
              <w:rPr>
                <w:rFonts w:ascii="Malgun Gothic" w:cs="Malgun Gothic" w:eastAsia="Malgun Gothic" w:hAnsi="Malgun Gothic"/>
                <w:color w:val="1f2329"/>
                <w:spacing w:val="-8"/>
                <w:position w:val="6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6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29"/>
                <w:position w:val="6"/>
              </w:rPr>
              <w:t xml:space="preserve"> 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-7"/>
              </w:rPr>
              <w:t>∂</w:t>
            </w:r>
            <w:r>
              <w:rPr>
                <w:b/>
                <w:bCs/>
                <w:i/>
                <w:iCs/>
                <w:color w:val="1f2329"/>
                <w:spacing w:val="10"/>
                <w:position w:val="-7"/>
              </w:rPr>
              <w:t xml:space="preserve">τ   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6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18"/>
                <w:position w:val="6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6"/>
              </w:rPr>
              <w:t>−</w:t>
            </w:r>
            <w:r>
              <w:rPr>
                <w:rFonts w:ascii="MS Gothic" w:cs="MS Gothic" w:eastAsia="MS Gothic" w:hAnsi="MS Gothic"/>
                <w:color w:val="1f2329"/>
                <w:spacing w:val="10"/>
                <w:position w:val="6"/>
              </w:rPr>
              <w:t xml:space="preserve"> 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10"/>
                <w:position w:val="-7"/>
              </w:rPr>
              <w:t>∂</w:t>
            </w:r>
            <w:r>
              <w:rPr>
                <w:b/>
                <w:bCs/>
                <w:i/>
                <w:iCs/>
                <w:color w:val="1f2329"/>
                <w:spacing w:val="10"/>
                <w:position w:val="-7"/>
              </w:rPr>
              <w:t>τ</w:t>
            </w:r>
            <w:r>
              <w:rPr>
                <w:b/>
                <w:bCs/>
                <w:i/>
                <w:iCs/>
                <w:color w:val="1f2329"/>
                <w:spacing w:val="9"/>
                <w:position w:val="-7"/>
              </w:rPr>
              <w:t xml:space="preserve">    </w:t>
            </w:r>
            <w:r>
              <w:rPr>
                <w:color w:val="1f2329"/>
                <w:spacing w:val="9"/>
                <w:position w:val="3"/>
              </w:rPr>
              <w:t>&lt;</w:t>
            </w:r>
            <w:r>
              <w:rPr>
                <w:color w:val="1f2329"/>
                <w:position w:val="3"/>
              </w:rPr>
              <w:t>br</w:t>
            </w:r>
            <w:r>
              <w:rPr>
                <w:color w:val="1f2329"/>
                <w:spacing w:val="9"/>
                <w:position w:val="3"/>
              </w:rPr>
              <w:t>&gt;</w:t>
            </w:r>
          </w:p>
          <w:p w14:paraId="B5D2177F">
            <w:pPr>
              <w:pStyle w:val="style4098"/>
              <w:spacing w:lineRule="auto" w:line="217"/>
              <w:ind w:left="57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 xml:space="preserve">规则： </w:t>
            </w:r>
            <w:r>
              <w:rPr>
                <w:i/>
                <w:iCs/>
                <w:color w:val="1f2329"/>
                <w:position w:val="-1"/>
              </w:rPr>
              <w:t>fG</w:t>
            </w:r>
            <w:r>
              <w:rPr>
                <w:i/>
                <w:iCs/>
                <w:color w:val="1f2329"/>
                <w:spacing w:val="28"/>
                <w:position w:val="-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为几何不变量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，与固有时偏导</w:t>
            </w:r>
            <w:r>
              <w:rPr>
                <w:rFonts w:ascii="Malgun Gothic" w:cs="Malgun Gothic" w:eastAsia="Malgun Gothic" w:hAnsi="Malgun Gothic"/>
                <w:color w:val="1f2329"/>
                <w:spacing w:val="3"/>
              </w:rPr>
              <w:t>∂/∂</w:t>
            </w:r>
            <w:r>
              <w:rPr>
                <w:i/>
                <w:iCs/>
                <w:color w:val="1f2329"/>
                <w:spacing w:val="3"/>
              </w:rPr>
              <w:t xml:space="preserve">τ </w:t>
            </w:r>
            <w:r>
              <w:rPr>
                <w:rFonts w:ascii="Microsoft YaHei" w:cs="Microsoft YaHei" w:eastAsia="Microsoft YaHei" w:hAnsi="Microsoft YaHei"/>
                <w:color w:val="1f2329"/>
                <w:spacing w:val="3"/>
              </w:rPr>
              <w:t>可交换</w:t>
            </w:r>
          </w:p>
        </w:tc>
      </w:tr>
    </w:tbl>
    <w:p w14:paraId="E9BF8866">
      <w:pPr>
        <w:pStyle w:val="style0"/>
        <w:rPr>
          <w:rFonts w:ascii="Arial"/>
          <w:sz w:val="21"/>
        </w:rPr>
      </w:pPr>
    </w:p>
    <w:p w14:paraId="27B7D9B0">
      <w:pPr>
        <w:pStyle w:val="style0"/>
        <w:rPr>
          <w:rFonts w:ascii="Arial" w:cs="Arial" w:eastAsia="Arial" w:hAnsi="Arial"/>
          <w:sz w:val="21"/>
          <w:szCs w:val="21"/>
        </w:rPr>
        <w:sectPr>
          <w:pgSz w:w="11900" w:h="16820" w:orient="portrait"/>
          <w:pgMar w:top="560" w:right="569" w:bottom="0" w:left="559" w:header="0" w:footer="0" w:gutter="0"/>
        </w:sectPr>
      </w:pPr>
    </w:p>
    <w:tbl>
      <w:tblPr>
        <w:tblStyle w:val="style4097"/>
        <w:tblW w:w="1075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</w:tblPr>
      <w:tblGrid>
        <w:gridCol w:w="741"/>
        <w:gridCol w:w="3460"/>
        <w:gridCol w:w="6553"/>
      </w:tblGrid>
      <w:tr w14:paraId="B202EF2A">
        <w:trPr>
          <w:trHeight w:val="3247" w:hRule="atLeast"/>
        </w:trPr>
        <w:tc>
          <w:tcPr>
            <w:tcW w:w="741" w:type="dxa"/>
            <w:tcBorders>
              <w:top w:val="nil"/>
            </w:tcBorders>
          </w:tcPr>
          <w:p w14:paraId="6B4F9A87">
            <w:pPr>
              <w:pStyle w:val="style4098"/>
              <w:rPr/>
            </w:pPr>
          </w:p>
        </w:tc>
        <w:tc>
          <w:tcPr>
            <w:tcW w:w="3460" w:type="dxa"/>
            <w:tcBorders>
              <w:top w:val="nil"/>
            </w:tcBorders>
          </w:tcPr>
          <w:p w14:paraId="92F02036">
            <w:pPr>
              <w:pStyle w:val="style4098"/>
              <w:rPr/>
            </w:pPr>
          </w:p>
        </w:tc>
        <w:tc>
          <w:tcPr>
            <w:tcW w:w="6553" w:type="dxa"/>
            <w:tcBorders>
              <w:top w:val="nil"/>
            </w:tcBorders>
          </w:tcPr>
          <w:p w14:paraId="889A5871">
            <w:pPr>
              <w:pStyle w:val="style4098"/>
              <w:rPr/>
            </w:pPr>
          </w:p>
        </w:tc>
      </w:tr>
      <w:tr w14:paraId="2EC487EB">
        <w:tblPrEx/>
        <w:trPr>
          <w:trHeight w:val="10935" w:hRule="atLeast"/>
        </w:trPr>
        <w:tc>
          <w:tcPr>
            <w:tcW w:w="741" w:type="dxa"/>
            <w:tcBorders/>
          </w:tcPr>
          <w:p w14:paraId="A076913D">
            <w:pPr>
              <w:pStyle w:val="style0"/>
              <w:spacing w:before="182" w:lineRule="auto" w:line="186"/>
              <w:ind w:left="157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第四</w:t>
            </w:r>
          </w:p>
          <w:p w14:paraId="2944B525">
            <w:pPr>
              <w:pStyle w:val="style0"/>
              <w:spacing w:before="66" w:lineRule="auto" w:line="185"/>
              <w:ind w:left="159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5"/>
                <w:sz w:val="21"/>
                <w:szCs w:val="21"/>
              </w:rPr>
              <w:t>步：</w:t>
            </w:r>
          </w:p>
          <w:p w14:paraId="2BD091B3">
            <w:pPr>
              <w:pStyle w:val="style0"/>
              <w:spacing w:before="68" w:lineRule="auto" w:line="185"/>
              <w:ind w:left="156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抵消</w:t>
            </w:r>
          </w:p>
          <w:p w14:paraId="12DC6511">
            <w:pPr>
              <w:pStyle w:val="style0"/>
              <w:spacing w:before="66" w:lineRule="auto" w:line="185"/>
              <w:ind w:left="15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耦合</w:t>
            </w:r>
          </w:p>
          <w:p w14:paraId="45CA869E">
            <w:pPr>
              <w:pStyle w:val="style0"/>
              <w:spacing w:before="67" w:lineRule="auto" w:line="188"/>
              <w:ind w:left="263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z w:val="21"/>
                <w:szCs w:val="21"/>
              </w:rPr>
              <w:t>系</w:t>
            </w:r>
          </w:p>
          <w:p w14:paraId="9824D650">
            <w:pPr>
              <w:pStyle w:val="style0"/>
              <w:spacing w:before="63" w:lineRule="auto" w:line="186"/>
              <w:ind w:left="15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数，</w:t>
            </w:r>
          </w:p>
          <w:p w14:paraId="B284DB18">
            <w:pPr>
              <w:pStyle w:val="style0"/>
              <w:spacing w:before="65" w:lineRule="auto" w:line="186"/>
              <w:ind w:left="152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得到</w:t>
            </w:r>
          </w:p>
          <w:p w14:paraId="833CD640">
            <w:pPr>
              <w:pStyle w:val="style0"/>
              <w:spacing w:before="66" w:lineRule="auto" w:line="185"/>
              <w:ind w:left="159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w w:val="99"/>
                <w:sz w:val="21"/>
                <w:szCs w:val="21"/>
              </w:rPr>
              <w:t>最终</w:t>
            </w:r>
          </w:p>
          <w:p w14:paraId="5C5B0AAC">
            <w:pPr>
              <w:pStyle w:val="style0"/>
              <w:spacing w:before="66" w:lineRule="auto" w:line="186"/>
              <w:ind w:left="153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2"/>
                <w:sz w:val="21"/>
                <w:szCs w:val="21"/>
              </w:rPr>
              <w:t>结果</w:t>
            </w:r>
          </w:p>
        </w:tc>
        <w:tc>
          <w:tcPr>
            <w:tcW w:w="3460" w:type="dxa"/>
            <w:tcBorders/>
          </w:tcPr>
          <w:p w14:paraId="E0A47FE0">
            <w:pPr>
              <w:pStyle w:val="style4098"/>
              <w:spacing w:before="183" w:lineRule="auto" w:line="184"/>
              <w:ind w:left="302"/>
              <w:rPr>
                <w:rFonts w:ascii="Microsoft YaHei" w:cs="Microsoft YaHei" w:eastAsia="Microsoft YaHei" w:hAnsi="Microsoft YaHei"/>
              </w:rPr>
            </w:pPr>
            <w:r>
              <w:rPr>
                <w:i/>
                <w:iCs/>
                <w:color w:val="1f2329"/>
                <w:position w:val="2"/>
              </w:rPr>
              <w:t>f</w:t>
            </w:r>
            <w:r>
              <w:rPr>
                <w:i/>
                <w:iCs/>
                <w:color w:val="1f2329"/>
                <w:spacing w:val="42"/>
                <w:position w:val="2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为非零常数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，分子分母直接抵</w:t>
            </w:r>
          </w:p>
          <w:p w14:paraId="107BB939">
            <w:pPr>
              <w:pStyle w:val="style0"/>
              <w:spacing w:before="68" w:lineRule="exact" w:line="751"/>
              <w:ind w:left="181"/>
              <w:rPr/>
            </w:pPr>
            <w:r>
              <w:rPr>
                <w:position w:val="-15"/>
              </w:rPr>
              <w:drawing>
                <wp:inline distL="0" distT="0" distB="0" distR="0">
                  <wp:extent cx="1957494" cy="476933"/>
                  <wp:effectExtent l="0" t="0" r="0" b="0"/>
                  <wp:docPr id="1034" name="IM 16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16"/>
                          <pic:cNvPicPr/>
                        </pic:nvPicPr>
                        <pic:blipFill>
                          <a:blip r:embed="rId9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957494" cy="4769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A0347FBE">
            <w:pPr>
              <w:pStyle w:val="style4098"/>
              <w:spacing w:before="59" w:lineRule="auto" w:line="200"/>
              <w:ind w:left="219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1"/>
              </w:rPr>
              <w:t>&lt;br&gt;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→ 经典法拉第电磁感应定律</w:t>
            </w:r>
          </w:p>
          <w:p w14:paraId="0AF3BEAD">
            <w:pPr>
              <w:pStyle w:val="style0"/>
              <w:spacing w:before="44" w:lineRule="auto" w:line="180"/>
              <w:ind w:left="1129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7"/>
                <w:sz w:val="21"/>
                <w:szCs w:val="21"/>
              </w:rPr>
              <w:t>（欧式形式）</w:t>
            </w:r>
          </w:p>
        </w:tc>
        <w:tc>
          <w:tcPr>
            <w:tcW w:w="6553" w:type="dxa"/>
            <w:tcBorders/>
          </w:tcPr>
          <w:p w14:paraId="BE370E35">
            <w:pPr>
              <w:pStyle w:val="style4098"/>
              <w:spacing w:before="178" w:lineRule="auto" w:line="173"/>
              <w:ind w:left="280"/>
              <w:rPr>
                <w:rFonts w:ascii="Microsoft YaHei" w:cs="Microsoft YaHei" w:eastAsia="Microsoft YaHei" w:hAnsi="Microsoft YaHei"/>
              </w:rPr>
            </w:pP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2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2"/>
              </w:rPr>
              <w:t>为非零几何不变量</w:t>
            </w:r>
            <w:r>
              <w:rPr>
                <w:rFonts w:ascii="Microsoft YaHei" w:cs="Microsoft YaHei" w:eastAsia="Microsoft YaHei" w:hAnsi="Microsoft YaHei"/>
                <w:color w:val="1f2329"/>
                <w:spacing w:val="-3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2"/>
              </w:rPr>
              <w:t xml:space="preserve">，分子分母直接抵消  ( </w:t>
            </w:r>
            <w:r>
              <w:rPr>
                <w:rFonts w:ascii="Malgun Gothic" w:cs="Malgun Gothic" w:eastAsia="Malgun Gothic" w:hAnsi="Malgun Gothic"/>
                <w:color w:val="1f2329"/>
                <w:spacing w:val="2"/>
              </w:rPr>
              <w:t>∇</w:t>
            </w:r>
            <w:r>
              <w:rPr>
                <w:i/>
                <w:iCs/>
                <w:color w:val="1f2329"/>
                <w:spacing w:val="2"/>
              </w:rPr>
              <w:t>λ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34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2"/>
              </w:rPr>
              <w:t xml:space="preserve">= 0 </w:t>
            </w:r>
            <w:r>
              <w:rPr>
                <w:rFonts w:ascii="Microsoft YaHei" w:cs="Microsoft YaHei" w:eastAsia="Microsoft YaHei" w:hAnsi="Microsoft YaHei"/>
                <w:color w:val="1f2329"/>
                <w:spacing w:val="2"/>
              </w:rPr>
              <w:t>，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抵消无</w:t>
            </w:r>
          </w:p>
          <w:p w14:paraId="0AEB3CF2">
            <w:pPr>
              <w:pStyle w:val="style4098"/>
              <w:spacing w:before="98" w:lineRule="auto" w:line="176"/>
              <w:ind w:left="218"/>
              <w:rPr>
                <w:rFonts w:ascii="Microsoft YaHei" w:cs="Microsoft YaHei" w:eastAsia="Microsoft YaHei" w:hAnsi="Microsoft YaHei"/>
              </w:rPr>
            </w:pPr>
            <w:r>
              <w:rPr/>
              <w:pict>
                <v:shape id="1035" type="#_x0000_t202" filled="f" stroked="f" style="position:absolute;margin-left:143.02pt;margin-top:-3.56pt;width:31.7pt;height:15.8pt;z-index:3;mso-position-horizontal-relative:text;mso-position-vertical-relative:text;mso-width-relative:page;mso-height-relative:page;mso-wrap-distance-left:0.0pt;mso-wrap-distance-right:0.0pt;visibility:visible;">
                  <v:stroke on="f"/>
                  <v:fill/>
                  <v:textbox inset="0.0pt,0.0pt,0.0pt,0.0pt">
                    <w:txbxContent>
                      <w:p w14:paraId="5E79D1D1">
                        <w:pPr>
                          <w:pStyle w:val="style4098"/>
                          <w:spacing w:before="19" w:lineRule="auto" w:line="230"/>
                          <w:ind w:left="20"/>
                          <w:rPr/>
                        </w:pPr>
                        <w:r>
                          <w:rPr>
                            <w:rFonts w:ascii="MS Gothic" w:cs="MS Gothic" w:eastAsia="MS Gothic" w:hAnsi="MS Gothic"/>
                            <w:b/>
                            <w:bCs/>
                            <w:color w:val="1f2329"/>
                            <w:spacing w:val="-10"/>
                            <w:position w:val="3"/>
                            <w:u w:val="single" w:color="auto"/>
                          </w:rPr>
                          <w:t>∂</w:t>
                        </w:r>
                        <w:r>
                          <w:rPr>
                            <w:rFonts w:ascii="MS Gothic" w:cs="MS Gothic" w:eastAsia="MS Gothic" w:hAnsi="MS Gothic"/>
                            <w:color w:val="1f2329"/>
                            <w:spacing w:val="-84"/>
                            <w:position w:val="3"/>
                            <w:u w:val="single" w:color="auto"/>
                          </w:rPr>
                          <w:t xml:space="preserve"> 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10"/>
                            <w:position w:val="3"/>
                            <w:u w:val="single" w:color="auto"/>
                          </w:rPr>
                          <w:t>B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9"/>
                            <w:u w:val="single" w:color="auto"/>
                          </w:rPr>
                          <w:t>μ</w:t>
                        </w:r>
                        <w:r>
                          <w:rPr>
                            <w:b/>
                            <w:bCs/>
                            <w:i/>
                            <w:iCs/>
                            <w:color w:val="1f2329"/>
                            <w:spacing w:val="-7"/>
                            <w:u w:val="single" w:color="auto"/>
                          </w:rPr>
                          <w:t>ν</w:t>
                        </w:r>
                      </w:p>
                    </w:txbxContent>
                  </v:textbox>
                </v:shape>
              </w:pict>
            </w:r>
            <w:r>
              <w:rPr>
                <w:rFonts w:ascii="Microsoft YaHei" w:cs="Microsoft YaHei" w:eastAsia="Microsoft YaHei" w:hAnsi="Microsoft YaHei"/>
                <w:color w:val="1f2329"/>
                <w:spacing w:val="6"/>
              </w:rPr>
              <w:t>歧义</w:t>
            </w:r>
            <w:r>
              <w:rPr>
                <w:rFonts w:ascii="Microsoft YaHei" w:cs="Microsoft YaHei" w:eastAsia="Microsoft YaHei" w:hAnsi="Microsoft YaHei"/>
                <w:color w:val="1f2329"/>
                <w:spacing w:val="-18"/>
              </w:rPr>
              <w:t>）</w:t>
            </w:r>
            <w:r>
              <w:rPr>
                <w:rFonts w:ascii="Microsoft YaHei" w:cs="Microsoft YaHei" w:eastAsia="Microsoft YaHei" w:hAnsi="Microsoft YaHei"/>
                <w:color w:val="1f2329"/>
                <w:spacing w:val="-17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18"/>
              </w:rPr>
              <w:t>：</w:t>
            </w:r>
            <w:r>
              <w:rPr>
                <w:color w:val="1f2329"/>
                <w:spacing w:val="6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6"/>
              </w:rPr>
              <w:t xml:space="preserve">&gt;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6"/>
              </w:rPr>
              <w:t>∇</w:t>
            </w:r>
            <w:r>
              <w:rPr>
                <w:b/>
                <w:bCs/>
                <w:i/>
                <w:iCs/>
                <w:color w:val="1f2329"/>
                <w:spacing w:val="6"/>
              </w:rPr>
              <w:t>μFνλ</w:t>
            </w:r>
            <w:r>
              <w:rPr>
                <w:b/>
                <w:bCs/>
                <w:i/>
                <w:iCs/>
                <w:color w:val="1f2329"/>
                <w:spacing w:val="26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6"/>
                <w:position w:val="2"/>
              </w:rPr>
              <w:t>=</w:t>
            </w:r>
            <w:r>
              <w:rPr>
                <w:rFonts w:ascii="MS Gothic" w:cs="MS Gothic" w:eastAsia="MS Gothic" w:hAnsi="MS Gothic"/>
                <w:color w:val="1f2329"/>
                <w:spacing w:val="-20"/>
                <w:position w:val="2"/>
              </w:rPr>
              <w:t xml:space="preserve">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6"/>
                <w:position w:val="2"/>
              </w:rPr>
              <w:t>−</w:t>
            </w:r>
            <w:r>
              <w:rPr>
                <w:rFonts w:ascii="MS Gothic" w:cs="MS Gothic" w:eastAsia="MS Gothic" w:hAnsi="MS Gothic"/>
                <w:color w:val="1f2329"/>
                <w:spacing w:val="6"/>
                <w:position w:val="2"/>
              </w:rPr>
              <w:t xml:space="preserve">  </w:t>
            </w:r>
            <w:r>
              <w:rPr>
                <w:rFonts w:ascii="MS Gothic" w:cs="MS Gothic" w:eastAsia="MS Gothic" w:hAnsi="MS Gothic"/>
                <w:b/>
                <w:bCs/>
                <w:color w:val="1f2329"/>
                <w:spacing w:val="6"/>
                <w:position w:val="-11"/>
              </w:rPr>
              <w:t>∂</w:t>
            </w:r>
            <w:r>
              <w:rPr>
                <w:b/>
                <w:bCs/>
                <w:i/>
                <w:iCs/>
                <w:color w:val="1f2329"/>
                <w:spacing w:val="6"/>
                <w:position w:val="-11"/>
              </w:rPr>
              <w:t xml:space="preserve">τ    </w:t>
            </w:r>
            <w:r>
              <w:rPr>
                <w:color w:val="1f2329"/>
                <w:spacing w:val="6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6"/>
              </w:rPr>
              <w:t>&gt;</w:t>
            </w:r>
            <w:r>
              <w:rPr>
                <w:rFonts w:ascii="Microsoft YaHei" w:cs="Microsoft YaHei" w:eastAsia="Microsoft YaHei" w:hAnsi="Microsoft YaHei"/>
                <w:color w:val="1f2329"/>
                <w:spacing w:val="6"/>
              </w:rPr>
              <w:t>低速平直时空下退化为：</w:t>
            </w:r>
          </w:p>
          <w:p w14:paraId="A1844DC4">
            <w:pPr>
              <w:pStyle w:val="style4098"/>
              <w:ind w:left="618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position w:val="-15"/>
              </w:rPr>
              <w:drawing>
                <wp:inline distL="0" distT="0" distB="0" distR="0">
                  <wp:extent cx="1087636" cy="319402"/>
                  <wp:effectExtent l="0" t="0" r="0" b="0"/>
                  <wp:docPr id="1036" name="IM 18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18"/>
                          <pic:cNvPicPr/>
                        </pic:nvPicPr>
                        <pic:blipFill>
                          <a:blip r:embed="rId10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1087636" cy="3194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1f2329"/>
              </w:rPr>
              <w:t>br&gt;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→ 法拉第定律</w:t>
            </w:r>
            <w:r>
              <w:rPr>
                <w:color w:val="1f2329"/>
              </w:rPr>
              <w:t>4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维协变形式（普适）</w:t>
            </w:r>
          </w:p>
        </w:tc>
      </w:tr>
      <w:tr w14:paraId="2556CCD9">
        <w:tblPrEx/>
        <w:trPr>
          <w:trHeight w:val="1507" w:hRule="atLeast"/>
        </w:trPr>
        <w:tc>
          <w:tcPr>
            <w:tcW w:w="741" w:type="dxa"/>
            <w:tcBorders>
              <w:bottom w:val="nil"/>
            </w:tcBorders>
          </w:tcPr>
          <w:p w14:paraId="25C3A382">
            <w:pPr>
              <w:pStyle w:val="style0"/>
              <w:spacing w:before="183" w:lineRule="auto" w:line="187"/>
              <w:ind w:left="156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求导</w:t>
            </w:r>
          </w:p>
          <w:p w14:paraId="B5CD5F7A">
            <w:pPr>
              <w:pStyle w:val="style0"/>
              <w:spacing w:before="63" w:lineRule="auto" w:line="185"/>
              <w:ind w:left="154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核心</w:t>
            </w:r>
          </w:p>
          <w:p w14:paraId="F8CFE4AC">
            <w:pPr>
              <w:pStyle w:val="style0"/>
              <w:spacing w:before="67" w:lineRule="auto" w:line="185"/>
              <w:ind w:left="155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3"/>
                <w:sz w:val="21"/>
                <w:szCs w:val="21"/>
              </w:rPr>
              <w:t>规则</w:t>
            </w:r>
          </w:p>
          <w:p w14:paraId="41248EB3">
            <w:pPr>
              <w:pStyle w:val="style0"/>
              <w:spacing w:before="68" w:lineRule="auto" w:line="184"/>
              <w:ind w:left="156"/>
              <w:rPr>
                <w:rFonts w:ascii="Microsoft YaHei" w:cs="Microsoft YaHei" w:eastAsia="Microsoft YaHei" w:hAnsi="Microsoft YaHei"/>
                <w:sz w:val="21"/>
                <w:szCs w:val="21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-4"/>
                <w:sz w:val="21"/>
                <w:szCs w:val="21"/>
              </w:rPr>
              <w:t>应用</w:t>
            </w:r>
          </w:p>
        </w:tc>
        <w:tc>
          <w:tcPr>
            <w:tcW w:w="3460" w:type="dxa"/>
            <w:tcBorders>
              <w:bottom w:val="nil"/>
            </w:tcBorders>
          </w:tcPr>
          <w:p w14:paraId="81865B6F">
            <w:pPr>
              <w:pStyle w:val="style4098"/>
              <w:spacing w:before="183" w:lineRule="auto" w:line="199"/>
              <w:ind w:left="259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2"/>
              </w:rPr>
              <w:t xml:space="preserve">1.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常数标量可从微分算子中提取</w:t>
            </w:r>
          </w:p>
          <w:p w14:paraId="4B91F876">
            <w:pPr>
              <w:pStyle w:val="style4098"/>
              <w:spacing w:before="45" w:lineRule="auto" w:line="200"/>
              <w:ind w:left="129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2"/>
              </w:rPr>
              <w:t xml:space="preserve">&lt;br&gt;2.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欧式平直时空</w:t>
            </w:r>
            <w:r>
              <w:rPr>
                <w:rFonts w:ascii="Microsoft YaHei" w:cs="Microsoft YaHei" w:eastAsia="Microsoft YaHei" w:hAnsi="Microsoft YaHei"/>
                <w:color w:val="1f2329"/>
                <w:spacing w:val="-24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，微分算子可</w:t>
            </w:r>
          </w:p>
          <w:p w14:paraId="1B6C3599">
            <w:pPr>
              <w:pStyle w:val="style4098"/>
              <w:spacing w:before="45" w:lineRule="auto" w:line="195"/>
              <w:ind w:left="336"/>
              <w:rPr>
                <w:rFonts w:ascii="Microsoft YaHei" w:cs="Microsoft YaHei" w:eastAsia="Microsoft YaHei" w:hAnsi="Microsoft YaHei"/>
              </w:rPr>
            </w:pP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任意交换</w:t>
            </w:r>
            <w:r>
              <w:rPr>
                <w:color w:val="1f2329"/>
                <w:spacing w:val="1"/>
              </w:rPr>
              <w:t>&lt;</w:t>
            </w:r>
            <w:r>
              <w:rPr>
                <w:color w:val="1f2329"/>
              </w:rPr>
              <w:t>br</w:t>
            </w:r>
            <w:r>
              <w:rPr>
                <w:color w:val="1f2329"/>
                <w:spacing w:val="1"/>
              </w:rPr>
              <w:t xml:space="preserve">&gt;3.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普通偏微分  (</w:t>
            </w:r>
          </w:p>
          <w:p w14:paraId="EBCFB3BF">
            <w:pPr>
              <w:pStyle w:val="style4098"/>
              <w:spacing w:before="17" w:lineRule="auto" w:line="187"/>
              <w:ind w:left="567"/>
              <w:rPr>
                <w:rFonts w:ascii="Microsoft YaHei" w:cs="Microsoft YaHei" w:eastAsia="Microsoft YaHei" w:hAnsi="Microsoft YaHei"/>
              </w:rPr>
            </w:pPr>
            <w:r>
              <w:rPr>
                <w:rFonts w:ascii="Malgun Gothic" w:cs="Malgun Gothic" w:eastAsia="Malgun Gothic" w:hAnsi="Malgun Gothic"/>
                <w:color w:val="1f2329"/>
                <w:position w:val="1"/>
              </w:rPr>
              <w:t>∂/∂</w:t>
            </w:r>
            <w:r>
              <w:rPr>
                <w:i/>
                <w:iCs/>
                <w:color w:val="1f2329"/>
                <w:position w:val="1"/>
              </w:rPr>
              <w:t xml:space="preserve">t </w:t>
            </w:r>
            <w:r>
              <w:rPr>
                <w:rFonts w:ascii="Microsoft YaHei" w:cs="Microsoft YaHei" w:eastAsia="Microsoft YaHei" w:hAnsi="Microsoft YaHei"/>
                <w:color w:val="1f2329"/>
                <w:position w:val="-1"/>
              </w:rPr>
              <w:t>、</w:t>
            </w:r>
            <w:r>
              <w:rPr>
                <w:rFonts w:ascii="Microsoft YaHei" w:cs="Microsoft YaHei" w:eastAsia="Microsoft YaHei" w:hAnsi="Microsoft YaHei"/>
                <w:color w:val="1f2329"/>
                <w:spacing w:val="-12"/>
                <w:position w:val="-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position w:val="1"/>
              </w:rPr>
              <w:t>∇</w:t>
            </w:r>
            <w:r>
              <w:rPr>
                <w:rFonts w:ascii="Malgun Gothic" w:cs="Malgun Gothic" w:eastAsia="Malgun Gothic" w:hAnsi="Malgun Gothic"/>
                <w:color w:val="1f2329"/>
                <w:spacing w:val="-38"/>
                <w:position w:val="1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position w:val="1"/>
              </w:rPr>
              <w:t>×</w:t>
            </w:r>
            <w:r>
              <w:rPr>
                <w:rFonts w:ascii="Malgun Gothic" w:cs="Malgun Gothic" w:eastAsia="Malgun Gothic" w:hAnsi="Malgun Gothic"/>
                <w:color w:val="1f2329"/>
                <w:spacing w:val="-16"/>
                <w:position w:val="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position w:val="-1"/>
              </w:rPr>
              <w:t>)</w:t>
            </w:r>
            <w:r>
              <w:rPr>
                <w:rFonts w:ascii="Microsoft YaHei" w:cs="Microsoft YaHei" w:eastAsia="Microsoft YaHei" w:hAnsi="Microsoft YaHei"/>
                <w:color w:val="1f2329"/>
                <w:spacing w:val="17"/>
                <w:position w:val="-1"/>
              </w:rPr>
              <w:t xml:space="preserve">  </w:t>
            </w:r>
            <w:r>
              <w:rPr>
                <w:rFonts w:ascii="Microsoft YaHei" w:cs="Microsoft YaHei" w:eastAsia="Microsoft YaHei" w:hAnsi="Microsoft YaHei"/>
                <w:color w:val="1f2329"/>
                <w:position w:val="-1"/>
              </w:rPr>
              <w:t>为核心工具</w:t>
            </w:r>
          </w:p>
        </w:tc>
        <w:tc>
          <w:tcPr>
            <w:tcW w:w="6553" w:type="dxa"/>
            <w:tcBorders>
              <w:bottom w:val="nil"/>
            </w:tcBorders>
          </w:tcPr>
          <w:p w14:paraId="C23EE202">
            <w:pPr>
              <w:pStyle w:val="style4098"/>
              <w:spacing w:before="178" w:lineRule="auto" w:line="213"/>
              <w:ind w:left="155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1"/>
              </w:rPr>
              <w:t xml:space="preserve">1.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几何不变量的协变导数为</w:t>
            </w:r>
            <w:r>
              <w:rPr>
                <w:color w:val="1f2329"/>
                <w:spacing w:val="1"/>
              </w:rPr>
              <w:t>0</w:t>
            </w:r>
            <w:r>
              <w:rPr>
                <w:color w:val="1f2329"/>
                <w:spacing w:val="16"/>
                <w:w w:val="101"/>
              </w:rPr>
              <w:t xml:space="preserve"> 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 xml:space="preserve">(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∇</w:t>
            </w:r>
            <w:r>
              <w:rPr>
                <w:i/>
                <w:iCs/>
                <w:color w:val="1f2329"/>
                <w:spacing w:val="1"/>
              </w:rPr>
              <w:t>λ</w:t>
            </w:r>
            <w:r>
              <w:rPr>
                <w:i/>
                <w:iCs/>
                <w:color w:val="1f2329"/>
              </w:rPr>
              <w:t>fG</w:t>
            </w:r>
            <w:r>
              <w:rPr>
                <w:i/>
                <w:iCs/>
                <w:color w:val="1f2329"/>
                <w:spacing w:val="34"/>
              </w:rPr>
              <w:t xml:space="preserve"> </w:t>
            </w:r>
            <w:r>
              <w:rPr>
                <w:rFonts w:ascii="Malgun Gothic" w:cs="Malgun Gothic" w:eastAsia="Malgun Gothic" w:hAnsi="Malgun Gothic"/>
                <w:color w:val="1f2329"/>
                <w:spacing w:val="1"/>
              </w:rPr>
              <w:t>= 0</w:t>
            </w:r>
            <w:r>
              <w:rPr>
                <w:rFonts w:ascii="Malgun Gothic" w:cs="Malgun Gothic" w:eastAsia="Malgun Gothic" w:hAnsi="Malgun Gothic"/>
                <w:color w:val="1f2329"/>
                <w:spacing w:val="-37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），</w:t>
            </w:r>
            <w:r>
              <w:rPr>
                <w:rFonts w:ascii="Microsoft YaHei" w:cs="Microsoft YaHei" w:eastAsia="Microsoft YaHei" w:hAnsi="Microsoft YaHei"/>
                <w:color w:val="1f2329"/>
                <w:spacing w:val="-4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1"/>
              </w:rPr>
              <w:t>可从协变微分中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提取</w:t>
            </w:r>
          </w:p>
          <w:p w14:paraId="5B99174A">
            <w:pPr>
              <w:pStyle w:val="style4098"/>
              <w:spacing w:before="23" w:lineRule="auto" w:line="200"/>
              <w:ind w:left="381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</w:rPr>
              <w:t xml:space="preserve">&lt;br&gt;2.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弯曲时空</w:t>
            </w:r>
            <w:r>
              <w:rPr>
                <w:rFonts w:ascii="Microsoft YaHei" w:cs="Microsoft YaHei" w:eastAsia="Microsoft YaHei" w:hAnsi="Microsoft YaHei"/>
                <w:color w:val="1f2329"/>
                <w:spacing w:val="-3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</w:rPr>
              <w:t>，微分算子交换需结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合测地线方程</w:t>
            </w:r>
            <w:r>
              <w:rPr>
                <w:color w:val="1f2329"/>
                <w:spacing w:val="-1"/>
              </w:rPr>
              <w:t>/</w:t>
            </w:r>
            <w:r>
              <w:rPr>
                <w:rFonts w:ascii="Microsoft YaHei" w:cs="Microsoft YaHei" w:eastAsia="Microsoft YaHei" w:hAnsi="Microsoft YaHei"/>
                <w:color w:val="1f2329"/>
                <w:spacing w:val="-1"/>
              </w:rPr>
              <w:t>几何恒等式</w:t>
            </w:r>
          </w:p>
          <w:p w14:paraId="B04CDD08">
            <w:pPr>
              <w:pStyle w:val="style4098"/>
              <w:spacing w:before="40" w:lineRule="auto" w:line="209"/>
              <w:ind w:left="812"/>
              <w:rPr>
                <w:rFonts w:ascii="Microsoft YaHei" w:cs="Microsoft YaHei" w:eastAsia="Microsoft YaHei" w:hAnsi="Microsoft YaHei"/>
              </w:rPr>
            </w:pPr>
            <w:r>
              <w:rPr>
                <w:color w:val="1f2329"/>
                <w:spacing w:val="-2"/>
              </w:rPr>
              <w:t xml:space="preserve">&lt;br&gt;3.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 xml:space="preserve">协变微分  ( </w:t>
            </w:r>
            <w:r>
              <w:rPr>
                <w:rFonts w:ascii="Malgun Gothic" w:cs="Malgun Gothic" w:eastAsia="Malgun Gothic" w:hAnsi="Malgun Gothic"/>
                <w:color w:val="1f2329"/>
                <w:spacing w:val="-2"/>
              </w:rPr>
              <w:t>∇</w:t>
            </w:r>
            <w:r>
              <w:rPr>
                <w:i/>
                <w:iCs/>
                <w:color w:val="1f2329"/>
                <w:spacing w:val="-2"/>
              </w:rPr>
              <w:t xml:space="preserve">μ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)   、外微分（</w:t>
            </w:r>
            <w:r>
              <w:rPr>
                <w:rFonts w:ascii="Microsoft YaHei" w:cs="Microsoft YaHei" w:eastAsia="Microsoft YaHei" w:hAnsi="Microsoft YaHei"/>
                <w:color w:val="1f2329"/>
                <w:spacing w:val="47"/>
              </w:rPr>
              <w:t xml:space="preserve"> </w:t>
            </w:r>
            <w:r>
              <w:rPr>
                <w:i/>
                <w:iCs/>
                <w:color w:val="1f2329"/>
                <w:spacing w:val="-2"/>
                <w:position w:val="3"/>
              </w:rPr>
              <w:t>d</w:t>
            </w:r>
            <w:r>
              <w:rPr>
                <w:i/>
                <w:iCs/>
                <w:color w:val="1f2329"/>
                <w:spacing w:val="30"/>
                <w:position w:val="3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）</w:t>
            </w:r>
            <w:r>
              <w:rPr>
                <w:rFonts w:ascii="Microsoft YaHei" w:cs="Microsoft YaHei" w:eastAsia="Microsoft YaHei" w:hAnsi="Microsoft YaHei"/>
                <w:color w:val="1f2329"/>
                <w:spacing w:val="-41"/>
              </w:rPr>
              <w:t xml:space="preserve"> </w:t>
            </w:r>
            <w:r>
              <w:rPr>
                <w:rFonts w:ascii="Microsoft YaHei" w:cs="Microsoft YaHei" w:eastAsia="Microsoft YaHei" w:hAnsi="Microsoft YaHei"/>
                <w:color w:val="1f2329"/>
                <w:spacing w:val="-2"/>
              </w:rPr>
              <w:t>为核心工具</w:t>
            </w:r>
          </w:p>
        </w:tc>
      </w:tr>
    </w:tbl>
    <w:p w14:paraId="97623B0B">
      <w:pPr>
        <w:pStyle w:val="style0"/>
        <w:rPr>
          <w:rFonts w:ascii="Arial"/>
          <w:sz w:val="21"/>
        </w:rPr>
      </w:pPr>
    </w:p>
    <w:p w14:paraId="36D913B1">
      <w:pPr>
        <w:pStyle w:val="style0"/>
        <w:rPr>
          <w:rFonts w:ascii="Arial" w:cs="Arial" w:eastAsia="Arial" w:hAnsi="Arial"/>
          <w:sz w:val="21"/>
          <w:szCs w:val="21"/>
        </w:rPr>
        <w:sectPr>
          <w:pgSz w:w="11900" w:h="16820" w:orient="portrait"/>
          <w:pgMar w:top="560" w:right="569" w:bottom="0" w:left="559" w:header="0" w:footer="0" w:gutter="0"/>
        </w:sectPr>
      </w:pPr>
    </w:p>
    <w:tbl>
      <w:tblPr>
        <w:tblStyle w:val="style4097"/>
        <w:tblW w:w="10754" w:type="dxa"/>
        <w:tblInd w:w="7" w:type="dxa"/>
        <w:tblBorders>
          <w:top w:val="single" w:sz="6" w:space="0" w:color="dee0e3"/>
          <w:left w:val="single" w:sz="6" w:space="0" w:color="dee0e3"/>
          <w:bottom w:val="single" w:sz="6" w:space="0" w:color="dee0e3"/>
          <w:right w:val="single" w:sz="6" w:space="0" w:color="dee0e3"/>
          <w:insideH w:val="single" w:sz="6" w:space="0" w:color="dee0e3"/>
          <w:insideV w:val="single" w:sz="6" w:space="0" w:color="dee0e3"/>
        </w:tblBorders>
        <w:tblLayout w:type="fixed"/>
      </w:tblPr>
      <w:tblGrid>
        <w:gridCol w:w="741"/>
        <w:gridCol w:w="3460"/>
        <w:gridCol w:w="6553"/>
      </w:tblGrid>
      <w:tr w14:paraId="B2622A0F">
        <w:trPr>
          <w:trHeight w:val="7385" w:hRule="atLeast"/>
        </w:trPr>
        <w:tc>
          <w:tcPr>
            <w:tcW w:w="741" w:type="dxa"/>
            <w:tcBorders>
              <w:top w:val="nil"/>
              <w:bottom w:val="single" w:sz="4" w:space="0" w:color="dee0e3"/>
            </w:tcBorders>
          </w:tcPr>
          <w:p w14:paraId="600AC4D4">
            <w:pPr>
              <w:pStyle w:val="style4098"/>
              <w:rPr/>
            </w:pPr>
          </w:p>
        </w:tc>
        <w:tc>
          <w:tcPr>
            <w:tcW w:w="3460" w:type="dxa"/>
            <w:tcBorders>
              <w:top w:val="nil"/>
              <w:bottom w:val="single" w:sz="4" w:space="0" w:color="dee0e3"/>
            </w:tcBorders>
          </w:tcPr>
          <w:p w14:paraId="BE7619F7">
            <w:pPr>
              <w:pStyle w:val="style4098"/>
              <w:rPr/>
            </w:pPr>
          </w:p>
        </w:tc>
        <w:tc>
          <w:tcPr>
            <w:tcW w:w="6553" w:type="dxa"/>
            <w:tcBorders>
              <w:top w:val="nil"/>
              <w:bottom w:val="single" w:sz="4" w:space="0" w:color="dee0e3"/>
            </w:tcBorders>
          </w:tcPr>
          <w:p w14:paraId="D82BA547">
            <w:pPr>
              <w:pStyle w:val="style4098"/>
              <w:rPr/>
            </w:pPr>
          </w:p>
        </w:tc>
      </w:tr>
    </w:tbl>
    <w:p w14:paraId="D160EB8E">
      <w:pPr>
        <w:pStyle w:val="style0"/>
        <w:spacing w:lineRule="auto" w:line="315"/>
        <w:rPr>
          <w:rFonts w:ascii="Arial"/>
          <w:sz w:val="21"/>
        </w:rPr>
      </w:pPr>
    </w:p>
    <w:p w14:paraId="BCA4EE0B">
      <w:pPr>
        <w:pStyle w:val="style66"/>
        <w:spacing w:before="142" w:lineRule="auto" w:line="185"/>
        <w:ind w:left="21"/>
        <w:rPr>
          <w:sz w:val="33"/>
          <w:szCs w:val="33"/>
        </w:rPr>
      </w:pPr>
      <w:r>
        <w:rPr>
          <w:color w:val="1f2329"/>
          <w:spacing w:val="-3"/>
          <w:sz w:val="33"/>
          <w:szCs w:val="33"/>
        </w:rPr>
        <w:t>两张求导的核心总结</w:t>
      </w:r>
    </w:p>
    <w:p w14:paraId="940AE559">
      <w:pPr>
        <w:pStyle w:val="style66"/>
        <w:spacing w:before="310" w:lineRule="auto" w:line="185"/>
        <w:ind w:left="10"/>
        <w:rPr>
          <w:sz w:val="30"/>
          <w:szCs w:val="30"/>
        </w:rPr>
      </w:pPr>
      <w:r>
        <w:rPr>
          <w:color w:val="1f2329"/>
          <w:spacing w:val="16"/>
          <w:sz w:val="30"/>
          <w:szCs w:val="30"/>
        </w:rPr>
        <w:t>原研究</w:t>
      </w:r>
      <w:r>
        <w:rPr>
          <w:rFonts w:ascii="Arial" w:cs="Arial" w:eastAsia="Arial" w:hAnsi="Arial"/>
          <w:i/>
          <w:iCs/>
          <w:color w:val="1f2329"/>
          <w:spacing w:val="16"/>
          <w:sz w:val="27"/>
          <w:szCs w:val="27"/>
        </w:rPr>
        <w:t xml:space="preserve">f </w:t>
      </w:r>
      <w:r>
        <w:rPr>
          <w:color w:val="1f2329"/>
          <w:spacing w:val="16"/>
          <w:sz w:val="30"/>
          <w:szCs w:val="30"/>
        </w:rPr>
        <w:t>求导</w:t>
      </w:r>
    </w:p>
    <w:p w14:paraId="7A135734">
      <w:pPr>
        <w:pStyle w:val="style66"/>
        <w:spacing w:before="152" w:lineRule="auto" w:line="234"/>
        <w:ind w:left="8" w:right="90" w:hanging="9"/>
        <w:rPr/>
      </w:pPr>
      <w:r>
        <w:rPr>
          <w:rFonts w:ascii="Segoe UI Symbol" w:cs="Segoe UI Symbol" w:eastAsia="Segoe UI Symbol" w:hAnsi="Segoe UI Symbol"/>
          <w:color w:val="1f2329"/>
          <w:spacing w:val="-2"/>
        </w:rPr>
        <w:t xml:space="preserve">✅ </w:t>
      </w:r>
      <w:r>
        <w:rPr>
          <w:color w:val="1f2329"/>
          <w:spacing w:val="-2"/>
        </w:rPr>
        <w:t>数学正确性：所有步骤严格遵循矢量分析、</w:t>
      </w:r>
      <w:r>
        <w:rPr>
          <w:color w:val="1f2329"/>
          <w:spacing w:val="-33"/>
        </w:rPr>
        <w:t xml:space="preserve"> </w:t>
      </w:r>
      <w:r>
        <w:rPr>
          <w:color w:val="1f2329"/>
          <w:spacing w:val="-2"/>
        </w:rPr>
        <w:t>常数求导规则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，无移项、算子应用</w:t>
      </w:r>
      <w:r>
        <w:rPr>
          <w:color w:val="1f2329"/>
          <w:spacing w:val="-31"/>
        </w:rPr>
        <w:t xml:space="preserve"> </w:t>
      </w:r>
      <w:r>
        <w:rPr>
          <w:color w:val="1f2329"/>
          <w:spacing w:val="-2"/>
        </w:rPr>
        <w:t>、抵消错误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，推导闭</w:t>
      </w:r>
      <w:r>
        <w:rPr>
          <w:color w:val="1f2329"/>
          <w:spacing w:val="-3"/>
        </w:rPr>
        <w:t>环自洽</w:t>
      </w:r>
      <w:r>
        <w:rPr>
          <w:color w:val="1f2329"/>
          <w:spacing w:val="-31"/>
        </w:rPr>
        <w:t xml:space="preserve"> </w:t>
      </w:r>
      <w:r>
        <w:rPr>
          <w:color w:val="1f2329"/>
          <w:spacing w:val="-3"/>
        </w:rPr>
        <w:t>，能完美导出经典法拉第定律；</w:t>
      </w:r>
    </w:p>
    <w:p w14:paraId="DD92CA8A">
      <w:pPr>
        <w:pStyle w:val="style66"/>
        <w:spacing w:before="94" w:lineRule="auto" w:line="232"/>
        <w:ind w:left="11" w:right="55" w:hanging="11"/>
        <w:rPr/>
      </w:pPr>
      <w:r>
        <w:rPr>
          <w:rFonts w:ascii="Segoe UI Symbol" w:cs="Segoe UI Symbol" w:eastAsia="Segoe UI Symbol" w:hAnsi="Segoe UI Symbol"/>
          <w:color w:val="1f2329"/>
          <w:spacing w:val="2"/>
        </w:rPr>
        <w:t xml:space="preserve">× </w:t>
      </w:r>
      <w:r>
        <w:rPr>
          <w:color w:val="1f2329"/>
          <w:spacing w:val="2"/>
        </w:rPr>
        <w:t>物理几何缺陷：仅为欧式平直时空的  Γ纸上数学运算」</w:t>
      </w:r>
      <w:r>
        <w:rPr>
          <w:color w:val="1f2329"/>
          <w:spacing w:val="-28"/>
        </w:rPr>
        <w:t xml:space="preserve"> </w:t>
      </w:r>
      <w:r>
        <w:rPr>
          <w:color w:val="1f2329"/>
          <w:spacing w:val="2"/>
        </w:rPr>
        <w:t>，未考虑引力场导致的时空弯曲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2"/>
        </w:rPr>
        <w:t>，</w:t>
      </w:r>
      <w:r>
        <w:rPr>
          <w:color w:val="1f2329"/>
          <w:spacing w:val="-15"/>
        </w:rPr>
        <w:t xml:space="preserve"> </w:t>
      </w:r>
      <w:r>
        <w:rPr>
          <w:rFonts w:ascii="Arial" w:cs="Arial" w:eastAsia="Arial" w:hAnsi="Arial"/>
          <w:i/>
          <w:iCs/>
          <w:color w:val="1f2329"/>
          <w:spacing w:val="2"/>
          <w:position w:val="2"/>
          <w:sz w:val="27"/>
          <w:szCs w:val="27"/>
        </w:rPr>
        <w:t xml:space="preserve">f </w:t>
      </w:r>
      <w:r>
        <w:rPr>
          <w:color w:val="1f2329"/>
          <w:spacing w:val="2"/>
        </w:rPr>
        <w:t>非几何</w:t>
      </w:r>
      <w:r>
        <w:rPr>
          <w:color w:val="1f2329"/>
          <w:spacing w:val="-2"/>
        </w:rPr>
        <w:t>不变量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2"/>
        </w:rPr>
        <w:t>，求导结果无几何内涵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-2"/>
        </w:rPr>
        <w:t>，无法反映引力</w:t>
      </w:r>
      <w:r>
        <w:rPr>
          <w:rFonts w:ascii="Arial" w:cs="Arial" w:eastAsia="Arial" w:hAnsi="Arial"/>
          <w:color w:val="1f2329"/>
          <w:spacing w:val="-2"/>
        </w:rPr>
        <w:t>-</w:t>
      </w:r>
      <w:r>
        <w:rPr>
          <w:color w:val="1f2329"/>
          <w:spacing w:val="-2"/>
        </w:rPr>
        <w:t>电磁耦合</w:t>
      </w:r>
      <w:r>
        <w:rPr>
          <w:color w:val="1f2329"/>
          <w:spacing w:val="-3"/>
        </w:rPr>
        <w:t>的物理本质。</w:t>
      </w:r>
    </w:p>
    <w:p w14:paraId="1ED08DC8">
      <w:pPr>
        <w:pStyle w:val="style66"/>
        <w:spacing w:before="277" w:lineRule="auto" w:line="185"/>
        <w:ind w:left="9"/>
        <w:rPr>
          <w:sz w:val="30"/>
          <w:szCs w:val="30"/>
        </w:rPr>
      </w:pPr>
      <w:r>
        <w:rPr>
          <w:color w:val="1f2329"/>
          <w:spacing w:val="10"/>
          <w:sz w:val="30"/>
          <w:szCs w:val="30"/>
        </w:rPr>
        <w:t>物理几何学</w:t>
      </w:r>
      <w:r>
        <w:rPr>
          <w:rFonts w:ascii="Arial" w:cs="Arial" w:eastAsia="Arial" w:hAnsi="Arial"/>
          <w:i/>
          <w:iCs/>
          <w:color w:val="1f2329"/>
          <w:sz w:val="27"/>
          <w:szCs w:val="27"/>
        </w:rPr>
        <w:t>f</w:t>
      </w:r>
      <w:r>
        <w:rPr>
          <w:rFonts w:ascii="Arial" w:cs="Arial" w:eastAsia="Arial" w:hAnsi="Arial"/>
          <w:i/>
          <w:iCs/>
          <w:color w:val="1f2329"/>
          <w:position w:val="1"/>
          <w:sz w:val="18"/>
          <w:szCs w:val="18"/>
        </w:rPr>
        <w:t>G</w:t>
      </w:r>
      <w:r>
        <w:rPr>
          <w:rFonts w:ascii="Arial" w:cs="Arial" w:eastAsia="Arial" w:hAnsi="Arial"/>
          <w:i/>
          <w:iCs/>
          <w:color w:val="1f2329"/>
          <w:spacing w:val="28"/>
          <w:position w:val="1"/>
          <w:sz w:val="18"/>
          <w:szCs w:val="18"/>
        </w:rPr>
        <w:t xml:space="preserve"> </w:t>
      </w:r>
      <w:r>
        <w:rPr>
          <w:color w:val="1f2329"/>
          <w:spacing w:val="10"/>
          <w:sz w:val="30"/>
          <w:szCs w:val="30"/>
        </w:rPr>
        <w:t>协变求导</w:t>
      </w:r>
    </w:p>
    <w:p w14:paraId="FCB4A59F">
      <w:pPr>
        <w:pStyle w:val="style66"/>
        <w:spacing w:before="150" w:lineRule="auto" w:line="236"/>
        <w:ind w:left="8" w:right="195" w:hanging="9"/>
        <w:rPr/>
      </w:pPr>
      <w:r>
        <w:rPr>
          <w:rFonts w:ascii="Segoe UI Symbol" w:cs="Segoe UI Symbol" w:eastAsia="Segoe UI Symbol" w:hAnsi="Segoe UI Symbol"/>
          <w:color w:val="1f2329"/>
        </w:rPr>
        <w:t xml:space="preserve">✅ </w:t>
      </w:r>
      <w:r>
        <w:rPr>
          <w:color w:val="1f2329"/>
        </w:rPr>
        <w:t>数学</w:t>
      </w:r>
      <w:r>
        <w:rPr>
          <w:rFonts w:ascii="Arial" w:cs="Arial" w:eastAsia="Arial" w:hAnsi="Arial"/>
          <w:color w:val="1f2329"/>
        </w:rPr>
        <w:t>+</w:t>
      </w:r>
      <w:r>
        <w:rPr>
          <w:color w:val="1f2329"/>
        </w:rPr>
        <w:t>物理双正确：既遵循弯曲时空的协变微分规则</w:t>
      </w:r>
      <w:r>
        <w:rPr>
          <w:color w:val="1f2329"/>
          <w:spacing w:val="-39"/>
        </w:rPr>
        <w:t xml:space="preserve"> </w:t>
      </w:r>
      <w:r>
        <w:rPr>
          <w:color w:val="1f2329"/>
        </w:rPr>
        <w:t>，又将</w:t>
      </w:r>
      <w:r>
        <w:rPr>
          <w:color w:val="1f2329"/>
          <w:spacing w:val="-1"/>
        </w:rPr>
        <w:t>耦合系数定义为几何不变量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-1"/>
        </w:rPr>
        <w:t>，求导结果</w:t>
      </w:r>
      <w:r>
        <w:rPr>
          <w:color w:val="1f2329"/>
          <w:spacing w:val="-2"/>
        </w:rPr>
        <w:t>是</w:t>
      </w:r>
      <w:r>
        <w:rPr>
          <w:rFonts w:ascii="Arial" w:cs="Arial" w:eastAsia="Arial" w:hAnsi="Arial"/>
          <w:color w:val="1f2329"/>
          <w:spacing w:val="-2"/>
        </w:rPr>
        <w:t>4</w:t>
      </w:r>
      <w:r>
        <w:rPr>
          <w:color w:val="1f2329"/>
          <w:spacing w:val="-2"/>
        </w:rPr>
        <w:t>维协变的法拉第定律</w:t>
      </w:r>
      <w:r>
        <w:rPr>
          <w:color w:val="1f2329"/>
          <w:spacing w:val="-25"/>
        </w:rPr>
        <w:t xml:space="preserve"> </w:t>
      </w:r>
      <w:r>
        <w:rPr>
          <w:color w:val="1f2329"/>
          <w:spacing w:val="-2"/>
        </w:rPr>
        <w:t>，反映时空曲率与电磁场的几何耦合；</w:t>
      </w:r>
    </w:p>
    <w:p w14:paraId="1B277698">
      <w:pPr>
        <w:pStyle w:val="style66"/>
        <w:spacing w:before="92" w:lineRule="auto" w:line="231"/>
        <w:ind w:left="13" w:right="142" w:hanging="14"/>
        <w:rPr/>
      </w:pPr>
      <w:r>
        <w:rPr>
          <w:rFonts w:ascii="Segoe UI Symbol" w:cs="Segoe UI Symbol" w:eastAsia="Segoe UI Symbol" w:hAnsi="Segoe UI Symbol"/>
          <w:color w:val="1f2329"/>
          <w:spacing w:val="3"/>
        </w:rPr>
        <w:t xml:space="preserve">✅ </w:t>
      </w:r>
      <w:r>
        <w:rPr>
          <w:color w:val="1f2329"/>
          <w:spacing w:val="3"/>
        </w:rPr>
        <w:t>兼容原研究：低速平直时空下</w:t>
      </w:r>
      <w:r>
        <w:rPr>
          <w:color w:val="1f2329"/>
          <w:spacing w:val="-39"/>
        </w:rPr>
        <w:t xml:space="preserve"> </w:t>
      </w:r>
      <w:r>
        <w:rPr>
          <w:color w:val="1f2329"/>
          <w:spacing w:val="3"/>
        </w:rPr>
        <w:t>，协变形式直接退化为原研究的欧式形式</w:t>
      </w:r>
      <w:r>
        <w:rPr>
          <w:color w:val="1f2329"/>
          <w:spacing w:val="-38"/>
        </w:rPr>
        <w:t xml:space="preserve"> </w:t>
      </w:r>
      <w:r>
        <w:rPr>
          <w:color w:val="1f2329"/>
          <w:spacing w:val="3"/>
        </w:rPr>
        <w:t>，</w:t>
      </w:r>
      <w:r>
        <w:rPr>
          <w:color w:val="1f2329"/>
          <w:spacing w:val="-16"/>
        </w:rPr>
        <w:t xml:space="preserve"> </w:t>
      </w:r>
      <w:r>
        <w:rPr>
          <w:rFonts w:ascii="Arial" w:cs="Arial" w:eastAsia="Arial" w:hAnsi="Arial"/>
          <w:i/>
          <w:iCs/>
          <w:color w:val="1f2329"/>
          <w:position w:val="2"/>
          <w:sz w:val="27"/>
          <w:szCs w:val="27"/>
        </w:rPr>
        <w:t>f</w:t>
      </w:r>
      <w:r>
        <w:rPr>
          <w:rFonts w:ascii="Arial" w:cs="Arial" w:eastAsia="Arial" w:hAnsi="Arial"/>
          <w:i/>
          <w:iCs/>
          <w:color w:val="1f2329"/>
          <w:sz w:val="18"/>
          <w:szCs w:val="18"/>
        </w:rPr>
        <w:t>G</w:t>
      </w:r>
      <w:r>
        <w:rPr>
          <w:rFonts w:ascii="Arial" w:cs="Arial" w:eastAsia="Arial" w:hAnsi="Arial"/>
          <w:i/>
          <w:iCs/>
          <w:color w:val="1f2329"/>
          <w:spacing w:val="23"/>
          <w:sz w:val="18"/>
          <w:szCs w:val="18"/>
        </w:rPr>
        <w:t xml:space="preserve"> </w:t>
      </w:r>
      <w:r>
        <w:rPr>
          <w:color w:val="1f2329"/>
          <w:spacing w:val="3"/>
        </w:rPr>
        <w:t>退化为</w:t>
      </w:r>
      <w:r>
        <w:rPr>
          <w:rFonts w:ascii="Arial" w:cs="Arial" w:eastAsia="Arial" w:hAnsi="Arial"/>
          <w:i/>
          <w:iCs/>
          <w:color w:val="1f2329"/>
          <w:spacing w:val="3"/>
          <w:sz w:val="27"/>
          <w:szCs w:val="27"/>
        </w:rPr>
        <w:t>f</w:t>
      </w:r>
      <w:r>
        <w:rPr>
          <w:rFonts w:ascii="Arial" w:cs="Arial" w:eastAsia="Arial" w:hAnsi="Arial"/>
          <w:i/>
          <w:iCs/>
          <w:color w:val="1f2329"/>
          <w:spacing w:val="35"/>
          <w:sz w:val="27"/>
          <w:szCs w:val="27"/>
        </w:rPr>
        <w:t xml:space="preserve"> </w:t>
      </w:r>
      <w:r>
        <w:rPr>
          <w:color w:val="1f2329"/>
          <w:spacing w:val="3"/>
        </w:rPr>
        <w:t>，保留</w:t>
      </w:r>
      <w:r>
        <w:rPr>
          <w:color w:val="1f2329"/>
          <w:spacing w:val="2"/>
        </w:rPr>
        <w:t>原研</w:t>
      </w:r>
      <w:r>
        <w:rPr>
          <w:color w:val="1f2329"/>
          <w:spacing w:val="-2"/>
        </w:rPr>
        <w:t>究的数学自洽性</w:t>
      </w:r>
      <w:r>
        <w:rPr>
          <w:color w:val="1f2329"/>
          <w:spacing w:val="-37"/>
        </w:rPr>
        <w:t xml:space="preserve"> </w:t>
      </w:r>
      <w:r>
        <w:rPr>
          <w:color w:val="1f2329"/>
          <w:spacing w:val="-2"/>
        </w:rPr>
        <w:t>，是对原研究的几何化升级与普适拓展。</w:t>
      </w:r>
    </w:p>
    <w:p w14:paraId="D7737958">
      <w:pPr>
        <w:pStyle w:val="style66"/>
        <w:spacing w:before="122" w:lineRule="auto" w:line="241"/>
        <w:ind w:left="10" w:right="210"/>
        <w:rPr>
          <w:sz w:val="21"/>
          <w:szCs w:val="21"/>
        </w:rPr>
      </w:pPr>
    </w:p>
    <w:sectPr>
      <w:pgSz w:w="11900" w:h="16820" w:orient="portrait"/>
      <w:pgMar w:top="560" w:right="569" w:bottom="0" w:left="559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altName w:val="Times New Toman"/>
    <w:panose1 w:val="02020603050004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SimSun">
    <w:altName w:val="SimSun"/>
    <w:panose1 w:val="02010600030001010101"/>
    <w:charset w:val="86"/>
    <w:family w:val="auto"/>
    <w:pitch w:val="default"/>
    <w:sig w:usb0="00000003" w:usb1="288F0000" w:usb2="00000006" w:usb3="00000000" w:csb0="00040001" w:csb1="00000000"/>
  </w:font>
  <w:font w:name="Wingdings">
    <w:altName w:val="Wingdings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Arial"/>
    <w:panose1 w:val="020b06040200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SimHei">
    <w:altName w:val="SimHei"/>
    <w:panose1 w:val="020106090600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Courier New"/>
    <w:panose1 w:val="02070309020002020404"/>
    <w:charset w:val="01"/>
    <w:family w:val="modern"/>
    <w:pitch w:val="default"/>
    <w:sig w:usb0="E0002EFF" w:usb1="C0007843" w:usb2="00000009" w:usb3="00000000" w:csb0="400001FF" w:csb1="FFFF0000"/>
  </w:font>
  <w:font w:name="Symbol">
    <w:altName w:val="Symbol"/>
    <w:panose1 w:val="05050102010007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alibri"/>
    <w:panose1 w:val="020f0502020002030204"/>
    <w:charset w:val="00"/>
    <w:family w:val="swiss"/>
    <w:pitch w:val="default"/>
    <w:sig w:usb0="E4002EFF" w:usb1="C000247B" w:usb2="00000009" w:usb3="00000000" w:csb0="200001FF" w:csb1="00000000"/>
  </w:font>
  <w:font w:name="微软雅黑">
    <w:altName w:val="微软雅黑"/>
    <w:panose1 w:val="020b0503020002020204"/>
    <w:charset w:val="86"/>
    <w:family w:val="auto"/>
    <w:pitch w:val="default"/>
    <w:sig w:usb0="80000287" w:usb1="2ACF3C50" w:usb2="00000016" w:usb3="00000000" w:csb0="0004001F" w:csb1="FFFF0000"/>
  </w:font>
  <w:font w:name="Microsoft JhengHei">
    <w:altName w:val="Microsoft JhengHei"/>
    <w:panose1 w:val="020b0604030005040204"/>
    <w:charset w:val="88"/>
    <w:family w:val="auto"/>
    <w:pitch w:val="default"/>
    <w:sig w:usb0="000002A7" w:usb1="28CF4400" w:usb2="00000016" w:usb3="00000000" w:csb0="00100009" w:csb1="00000000"/>
  </w:font>
  <w:font w:name="MS Gothic">
    <w:altName w:val="MS Gothic"/>
    <w:panose1 w:val="020b0609070002080204"/>
    <w:charset w:val="86"/>
    <w:family w:val="auto"/>
    <w:pitch w:val="default"/>
    <w:sig w:usb0="E00002FF" w:usb1="6AC7FDFB" w:usb2="08000012" w:usb3="00000000" w:csb0="4002009F" w:csb1="DFD70000"/>
  </w:font>
  <w:font w:name="Malgun Gothic">
    <w:altName w:val="Malgun Gothic"/>
    <w:panose1 w:val="020b0503020000020004"/>
    <w:charset w:val="86"/>
    <w:family w:val="auto"/>
    <w:pitch w:val="variable"/>
    <w:sig w:usb0="9000002F" w:usb1="29D77CFB" w:usb2="00000012" w:usb3="00000000" w:csb0="00080001" w:csb1="00000000"/>
  </w:font>
  <w:font w:name="Microsoft YaHei">
    <w:altName w:val="Microsoft YaHei"/>
    <w:panose1 w:val="020b0503020002020204"/>
    <w:charset w:val="86"/>
    <w:family w:val="auto"/>
    <w:pitch w:val="variable"/>
    <w:sig w:usb0="80000287" w:usb1="2ACF3C50" w:usb2="00000016" w:usb3="00000000" w:csb0="0004001F" w:csb1="00000000"/>
  </w:font>
  <w:font w:name="Segoe UI Symbol">
    <w:altName w:val="Segoe UI Symbol"/>
    <w:panose1 w:val="020b0502040002020203"/>
    <w:charset w:val="00"/>
    <w:family w:val="auto"/>
    <w:pitch w:val="variable"/>
    <w:sig w:usb0="800001E3" w:usb1="1200FFEF" w:usb2="0064C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displayBackgroundShape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rial" w:cs="Arial" w:eastAsia="Arial" w:hAnsi="Arial"/>
        <w:snapToGrid w:val="false"/>
        <w:color w:val="000000"/>
        <w:kern w:val="0"/>
        <w:sz w:val="21"/>
        <w:szCs w:val="21"/>
        <w:lang w:val="en-US" w:bidi="ar-SA" w:eastAsia="en-US"/>
      </w:rPr>
    </w:rPrDefault>
    <w:pPrDefault>
      <w:pPr/>
    </w:pPrDefault>
  </w:docDefaults>
  <w:style w:type="paragraph" w:default="1" w:styleId="style0">
    <w:name w:val="Normal"/>
    <w:next w:val="style0"/>
    <w:qFormat/>
    <w:pPr>
      <w:kinsoku w:val="false"/>
      <w:autoSpaceDE w:val="false"/>
      <w:autoSpaceDN w:val="false"/>
      <w:adjustRightInd w:val="false"/>
      <w:snapToGrid w:val="false"/>
      <w:spacing w:lineRule="auto" w:line="240"/>
      <w:jc w:val="left"/>
      <w:textAlignment w:val="baseline"/>
    </w:pPr>
    <w:rPr>
      <w:noProof/>
      <w:snapToGrid w:val="false"/>
      <w:color w:val="000000"/>
      <w:kern w:val="0"/>
    </w:rPr>
  </w:style>
  <w:style w:type="table" w:customStyle="1" w:styleId="style4097">
    <w:name w:val="Table Normal"/>
    <w:next w:val="style4097"/>
    <w:qFormat/>
    <w:pPr/>
    <w:rPr/>
    <w:tblPr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paragraph" w:styleId="style66">
    <w:name w:val="Body Text"/>
    <w:basedOn w:val="style0"/>
    <w:next w:val="style66"/>
    <w:qFormat/>
    <w:pPr/>
    <w:rPr>
      <w:rFonts w:ascii="Microsoft YaHei" w:cs="Microsoft YaHei" w:eastAsia="Microsoft YaHei" w:hAnsi="Microsoft YaHei"/>
      <w:sz w:val="24"/>
      <w:szCs w:val="24"/>
      <w:lang w:val="en-US" w:bidi="ar-SA" w:eastAsia="en-US"/>
    </w:rPr>
  </w:style>
  <w:style w:type="paragraph" w:customStyle="1" w:styleId="style4098">
    <w:name w:val="Table Text"/>
    <w:basedOn w:val="style0"/>
    <w:next w:val="style4098"/>
    <w:qFormat/>
    <w:pPr/>
    <w:rPr>
      <w:rFonts w:ascii="Arial" w:cs="Arial" w:eastAsia="Arial" w:hAnsi="Arial"/>
      <w:sz w:val="21"/>
      <w:szCs w:val="21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1" Type="http://schemas.openxmlformats.org/officeDocument/2006/relationships/styles" Target="styles.xml"/><Relationship Id="rId10" Type="http://schemas.openxmlformats.org/officeDocument/2006/relationships/image" Target="media/image9.png"/><Relationship Id="rId13" Type="http://schemas.openxmlformats.org/officeDocument/2006/relationships/settings" Target="settings.xml"/><Relationship Id="rId12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image" Target="media/image8.png"/><Relationship Id="rId14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1278</Words>
  <Characters>1550</Characters>
  <Application>WPS Office</Application>
  <Paragraphs>118</Paragraphs>
  <CharactersWithSpaces>1864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2026-02-02T11:13:03Z</dcterms:created>
  <dc:creator>WPS Office</dc:creator>
  <lastModifiedBy>PD2357X</lastModifiedBy>
  <dcterms:modified xsi:type="dcterms:W3CDTF">2026-02-02T11:14:31Z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ICV">
    <vt:lpwstr>b6bb31465a1244da80eed79444166464_22</vt:lpwstr>
  </property>
</Properties>
</file>