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120"/>
        <w:jc w:val="left"/>
      </w:pPr>
      <w:r>
        <w:rPr>
          <w:rFonts w:ascii="Arial" w:cs="Arial" w:eastAsia="Arial" w:hAnsi="Arial"/>
          <w:b/>
          <w:bCs/>
          <w:color w:val="0A0A0B"/>
          <w:sz w:val="96"/>
          <w:szCs w:val="96"/>
        </w:rPr>
        <w:t xml:space="preserve">knol</w:t>
      </w:r>
    </w:p>
    <w:p>
      <w:pPr>
        <w:spacing w:after="600"/>
        <w:jc w:val="left"/>
      </w:pPr>
      <w:r>
        <w:rPr>
          <w:rFonts w:ascii="Arial" w:cs="Arial" w:eastAsia="Arial" w:hAnsi="Arial"/>
          <w:color w:val="52525B"/>
          <w:sz w:val="36"/>
          <w:szCs w:val="36"/>
        </w:rPr>
        <w:t xml:space="preserve">Brand Guidelines</w:t>
      </w:r>
    </w:p>
    <w:p>
      <w:pPr>
        <w:pBdr>
          <w:top w:val="single" w:color="6E56CF" w:sz="2" w:space="1"/>
        </w:pBdr>
        <w:spacing w:before="200" w:after="200"/>
      </w:pPr>
    </w:p>
    <w:p>
      <w:pPr>
        <w:spacing w:after="120"/>
      </w:pPr>
      <w:r>
        <w:rPr>
          <w:rFonts w:ascii="Arial" w:cs="Arial" w:eastAsia="Arial" w:hAnsi="Arial"/>
          <w:color w:val="71717A"/>
          <w:sz w:val="20"/>
          <w:szCs w:val="20"/>
        </w:rPr>
        <w:t xml:space="preserve">Version 1.0</w:t>
      </w:r>
    </w:p>
    <w:p>
      <w:r>
        <w:rPr>
          <w:rFonts w:ascii="Arial" w:cs="Arial" w:eastAsia="Arial" w:hAnsi="Arial"/>
          <w:color w:val="71717A"/>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Brand Overview</w:t>
      </w:r>
    </w:p>
    <w:p>
      <w:pPr>
        <w:spacing w:after="200"/>
      </w:pPr>
      <w:r>
        <w:rPr>
          <w:b/>
          <w:bCs/>
        </w:rPr>
        <w:t xml:space="preserve">Knol </w:t>
      </w:r>
      <w:r>
        <w:t xml:space="preserve">is memory infrastructure for AI. The name derives from </w:t>
      </w:r>
      <w:r>
        <w:rPr>
          <w:i/>
          <w:iCs/>
        </w:rPr>
        <w:t xml:space="preserve">knowledge</w:t>
      </w:r>
      <w:r>
        <w:t xml:space="preserve"> — reflecting our mission to give AI applications persistent, structured memory that grows smarter over time.</w:t>
      </w:r>
    </w:p>
    <w:p>
      <w:pPr>
        <w:pStyle w:val="Heading2"/>
      </w:pPr>
      <w:r>
        <w:t xml:space="preserve">Brand Essence</w:t>
      </w:r>
    </w:p>
    <w:p>
      <w:pPr>
        <w:spacing w:after="160"/>
      </w:pPr>
      <w:r>
        <w:t xml:space="preserve">Our brand communicates three core principles:</w:t>
      </w:r>
    </w:p>
    <w:p>
      <w:pPr>
        <w:pStyle w:val="ListParagraph"/>
        <w:numPr>
          <w:ilvl w:val="0"/>
          <w:numId w:val="2"/>
        </w:numPr>
        <w:spacing w:after="80"/>
      </w:pPr>
      <w:r>
        <w:rPr>
          <w:b/>
          <w:bCs/>
        </w:rPr>
        <w:t xml:space="preserve">Precision </w:t>
      </w:r>
      <w:r>
        <w:t xml:space="preserve">— Every detail is intentional. We build infrastructure that developers trust.</w:t>
      </w:r>
    </w:p>
    <w:p>
      <w:pPr>
        <w:pStyle w:val="ListParagraph"/>
        <w:numPr>
          <w:ilvl w:val="0"/>
          <w:numId w:val="2"/>
        </w:numPr>
        <w:spacing w:after="80"/>
      </w:pPr>
      <w:r>
        <w:rPr>
          <w:b/>
          <w:bCs/>
        </w:rPr>
        <w:t xml:space="preserve">Clarity </w:t>
      </w:r>
      <w:r>
        <w:t xml:space="preserve">— Complexity under the surface, simplicity at the interface.</w:t>
      </w:r>
    </w:p>
    <w:p>
      <w:pPr>
        <w:pStyle w:val="ListParagraph"/>
        <w:numPr>
          <w:ilvl w:val="0"/>
          <w:numId w:val="2"/>
        </w:numPr>
        <w:spacing w:after="200"/>
      </w:pPr>
      <w:r>
        <w:rPr>
          <w:b/>
          <w:bCs/>
        </w:rPr>
        <w:t xml:space="preserve">Intelligence </w:t>
      </w:r>
      <w:r>
        <w:t xml:space="preserve">— Memory that understands context, not just stores data.</w:t>
      </w:r>
    </w:p>
    <w:p>
      <w:pPr>
        <w:pStyle w:val="Heading2"/>
      </w:pPr>
      <w:r>
        <w:t xml:space="preserve">Tagline</w:t>
      </w:r>
    </w:p>
    <w:p>
      <w:pPr>
        <w:spacing w:after="200"/>
      </w:pPr>
      <w:r>
        <w:rPr>
          <w:i/>
          <w:iCs/>
          <w:color w:val="52525B"/>
          <w:sz w:val="28"/>
          <w:szCs w:val="28"/>
        </w:rPr>
        <w:t xml:space="preserve">Memory infrastructure for AI</w:t>
      </w:r>
    </w:p>
    <w:p>
      <w:pPr>
        <w:pStyle w:val="Heading2"/>
      </w:pPr>
      <w:r>
        <w:t xml:space="preserve">Voice &amp; Tone</w:t>
      </w:r>
    </w:p>
    <w:p>
      <w:pPr>
        <w:spacing w:after="200"/>
      </w:pPr>
      <w:r>
        <w:t xml:space="preserve">Technical but never cold. Confident but never arrogant. We write like engineers explaining something they built with care — direct, precise, and occasionally understated. Avoid jargon when a simpler word works. Let the product speak through clean documentation and honest communication.</w:t>
      </w:r>
    </w:p>
    <w:p>
      <w:r>
        <w:br w:type="page"/>
      </w:r>
    </w:p>
    <w:p>
      <w:pPr>
        <w:pStyle w:val="Heading1"/>
      </w:pPr>
      <w:r>
        <w:t xml:space="preserve">Logo</w:t>
      </w:r>
    </w:p>
    <w:p>
      <w:pPr>
        <w:spacing w:after="200"/>
      </w:pPr>
      <w:r>
        <w:t xml:space="preserve">The Knol logo consists of three elements that can be used independently or together: the icon mark, the wordmark, and the combination mark.</w:t>
      </w:r>
    </w:p>
    <w:p>
      <w:pPr>
        <w:pStyle w:val="Heading2"/>
      </w:pPr>
      <w:r>
        <w:t xml:space="preserve">Icon Mark</w:t>
      </w:r>
    </w:p>
    <w:p>
      <w:pPr>
        <w:spacing w:after="200"/>
      </w:pPr>
      <w:r>
        <w:t xml:space="preserve">The icon is a geometric </w:t>
      </w:r>
      <w:r>
        <w:rPr>
          <w:b/>
          <w:bCs/>
        </w:rPr>
        <w:t xml:space="preserve">K</w:t>
      </w:r>
      <w:r>
        <w:t xml:space="preserve"> constructed from a vertical stroke with two angular branches. The violet dots at the endpoints represent knowledge nodes — memory connections that the platform creates. The mark sits inside a rounded rectangle with the Ink background.</w:t>
      </w:r>
    </w:p>
    <w:p>
      <w:pPr>
        <w:pStyle w:val="Heading2"/>
      </w:pPr>
      <w:r>
        <w:t xml:space="preserve">Wordmark</w:t>
      </w:r>
    </w:p>
    <w:p>
      <w:pPr>
        <w:spacing w:after="200"/>
      </w:pPr>
      <w:r>
        <w:t xml:space="preserve">The wordmark uses Inter Medium at 52pt with -2 letter spacing. Always lowercase. The tight tracking and medium weight convey technical confidence without heaviness.</w:t>
      </w:r>
    </w:p>
    <w:p>
      <w:pPr>
        <w:pStyle w:val="Heading2"/>
      </w:pPr>
      <w:r>
        <w:t xml:space="preserve">Combination Mark</w:t>
      </w:r>
    </w:p>
    <w:p>
      <w:pPr>
        <w:spacing w:after="200"/>
      </w:pPr>
      <w:r>
        <w:t xml:space="preserve">The preferred logo for most applications. The icon sits to the left of the wordmark with 16px spacing at standard size. Scale proportionally.</w:t>
      </w:r>
    </w:p>
    <w:p>
      <w:pPr>
        <w:pStyle w:val="Heading2"/>
      </w:pPr>
      <w:r>
        <w:t xml:space="preserve">Clear Space &amp; Minimum Size</w:t>
      </w:r>
    </w:p>
    <w:p>
      <w:pPr>
        <w:spacing w:after="120"/>
      </w:pPr>
      <w:r>
        <w:t xml:space="preserve">Maintain clear space equal to the height of the icon mark on all sides. The minimum size for the combination mark is 120px wide for digital and 30mm for print. The icon alone can go as small as 16px (favicon).</w:t>
      </w:r>
    </w:p>
    <w:p>
      <w:pPr>
        <w:pStyle w:val="Heading3"/>
      </w:pPr>
      <w:r>
        <w:t xml:space="preserve">Logo Don’ts</w:t>
      </w:r>
    </w:p>
    <w:p>
      <w:pPr>
        <w:pStyle w:val="ListParagraph"/>
        <w:numPr>
          <w:ilvl w:val="0"/>
          <w:numId w:val="2"/>
        </w:numPr>
        <w:spacing w:after="80"/>
      </w:pPr>
      <w:r>
        <w:t xml:space="preserve">Do not rotate, skew, or distort the logo</w:t>
      </w:r>
    </w:p>
    <w:p>
      <w:pPr>
        <w:pStyle w:val="ListParagraph"/>
        <w:numPr>
          <w:ilvl w:val="0"/>
          <w:numId w:val="2"/>
        </w:numPr>
        <w:spacing w:after="80"/>
      </w:pPr>
      <w:r>
        <w:t xml:space="preserve">Do not change the colors outside the approved palettes</w:t>
      </w:r>
    </w:p>
    <w:p>
      <w:pPr>
        <w:pStyle w:val="ListParagraph"/>
        <w:numPr>
          <w:ilvl w:val="0"/>
          <w:numId w:val="2"/>
        </w:numPr>
        <w:spacing w:after="80"/>
      </w:pPr>
      <w:r>
        <w:t xml:space="preserve">Do not add drop shadows, gradients, or effects</w:t>
      </w:r>
    </w:p>
    <w:p>
      <w:pPr>
        <w:pStyle w:val="ListParagraph"/>
        <w:numPr>
          <w:ilvl w:val="0"/>
          <w:numId w:val="2"/>
        </w:numPr>
        <w:spacing w:after="80"/>
      </w:pPr>
      <w:r>
        <w:t xml:space="preserve">Do not place on busy backgrounds without sufficient contrast</w:t>
      </w:r>
    </w:p>
    <w:p>
      <w:pPr>
        <w:pStyle w:val="ListParagraph"/>
        <w:numPr>
          <w:ilvl w:val="0"/>
          <w:numId w:val="2"/>
        </w:numPr>
        <w:spacing w:after="200"/>
      </w:pPr>
      <w:r>
        <w:t xml:space="preserve">Do not use the wordmark in uppercase or title case</w:t>
      </w:r>
    </w:p>
    <w:p>
      <w:r>
        <w:br w:type="page"/>
      </w:r>
    </w:p>
    <w:p>
      <w:pPr>
        <w:pStyle w:val="Heading1"/>
      </w:pPr>
      <w:r>
        <w:t xml:space="preserve">Color Palette</w:t>
      </w:r>
    </w:p>
    <w:p>
      <w:pPr>
        <w:spacing w:after="200"/>
      </w:pPr>
      <w:r>
        <w:t xml:space="preserve">The Knol palette is deliberately restrained. A near-black and white foundation provides the canvas, while a single violet accent creates focus and recognition. This constraint ensures consistency across every touchpoint.</w:t>
      </w:r>
    </w:p>
    <w:p>
      <w:pPr>
        <w:pStyle w:val="Heading2"/>
      </w:pPr>
      <w: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4E7" w:sz="1"/>
              <w:left w:val="single" w:color="E4E4E7" w:sz="1"/>
              <w:bottom w:val="single" w:color="E4E4E7" w:sz="1"/>
              <w:right w:val="single" w:color="E4E4E7" w:sz="1"/>
            </w:tcBorders>
            <w:shd w:fill="0A0A0B" w:val="clear"/>
            <w:tcMar>
              <w:top w:type="dxa" w:w="200"/>
              <w:left w:type="dxa" w:w="120"/>
              <w:bottom w:type="dxa" w:w="200"/>
              <w:right w:type="dxa" w:w="120"/>
            </w:tcMar>
          </w:tcPr>
          <w:p>
            <w:r>
              <w:rPr>
                <w:b/>
                <w:bCs/>
                <w:color w:val="FAFAFA"/>
                <w:sz w:val="20"/>
                <w:szCs w:val="20"/>
              </w:rPr>
              <w:t xml:space="preserve">Ink</w:t>
            </w:r>
          </w:p>
          <w:p>
            <w:r>
              <w:rPr>
                <w:color w:val="71717A"/>
                <w:sz w:val="18"/>
                <w:szCs w:val="18"/>
              </w:rPr>
              <w:t xml:space="preserve">#0A0A0B</w:t>
            </w:r>
          </w:p>
        </w:tc>
        <w:tc>
          <w:tcPr>
            <w:tcW w:type="dxa" w:w="3120"/>
            <w:tcBorders>
              <w:top w:val="single" w:color="E4E4E7" w:sz="1"/>
              <w:left w:val="single" w:color="E4E4E7" w:sz="1"/>
              <w:bottom w:val="single" w:color="E4E4E7" w:sz="1"/>
              <w:right w:val="single" w:color="E4E4E7" w:sz="1"/>
            </w:tcBorders>
            <w:shd w:fill="6E56CF" w:val="clear"/>
            <w:tcMar>
              <w:top w:type="dxa" w:w="200"/>
              <w:left w:type="dxa" w:w="120"/>
              <w:bottom w:type="dxa" w:w="200"/>
              <w:right w:type="dxa" w:w="120"/>
            </w:tcMar>
          </w:tcPr>
          <w:p>
            <w:r>
              <w:rPr>
                <w:b/>
                <w:bCs/>
                <w:color w:val="FAFAFA"/>
                <w:sz w:val="20"/>
                <w:szCs w:val="20"/>
              </w:rPr>
              <w:t xml:space="preserve">Violet</w:t>
            </w:r>
          </w:p>
          <w:p>
            <w:r>
              <w:rPr>
                <w:color w:val="D4CAFE"/>
                <w:sz w:val="18"/>
                <w:szCs w:val="18"/>
              </w:rPr>
              <w:t xml:space="preserve">#6E56CF</w:t>
            </w:r>
          </w:p>
        </w:tc>
        <w:tc>
          <w:tcPr>
            <w:tcW w:type="dxa" w:w="3120"/>
            <w:tcBorders>
              <w:top w:val="single" w:color="E4E4E7" w:sz="1"/>
              <w:left w:val="single" w:color="E4E4E7" w:sz="1"/>
              <w:bottom w:val="single" w:color="E4E4E7" w:sz="1"/>
              <w:right w:val="single" w:color="E4E4E7" w:sz="1"/>
            </w:tcBorders>
            <w:shd w:fill="FAFAFA" w:val="clear"/>
            <w:tcMar>
              <w:top w:type="dxa" w:w="200"/>
              <w:left w:type="dxa" w:w="120"/>
              <w:bottom w:type="dxa" w:w="200"/>
              <w:right w:type="dxa" w:w="120"/>
            </w:tcMar>
          </w:tcPr>
          <w:p>
            <w:r>
              <w:rPr>
                <w:b/>
                <w:bCs/>
                <w:color w:val="0A0A0B"/>
                <w:sz w:val="20"/>
                <w:szCs w:val="20"/>
              </w:rPr>
              <w:t xml:space="preserve">Snow</w:t>
            </w:r>
          </w:p>
          <w:p>
            <w:r>
              <w:rPr>
                <w:color w:val="52525B"/>
                <w:sz w:val="18"/>
                <w:szCs w:val="18"/>
              </w:rPr>
              <w:t xml:space="preserve">#FAFAFA</w:t>
            </w:r>
          </w:p>
        </w:tc>
      </w:tr>
    </w:tbl>
    <w:p>
      <w:pPr>
        <w:pStyle w:val="Heading2"/>
        <w:spacing w:before="360"/>
      </w:pPr>
      <w:r>
        <w:t xml:space="preserve">Neutral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Charcoal</w:t>
            </w:r>
          </w:p>
          <w:p>
            <w:pPr>
              <w:spacing w:after="40"/>
            </w:pPr>
            <w:r>
              <w:rPr>
                <w:rFonts w:ascii="Arial" w:cs="Arial" w:eastAsia="Arial" w:hAnsi="Arial"/>
                <w:color w:val="52525B"/>
                <w:sz w:val="18"/>
                <w:szCs w:val="18"/>
              </w:rPr>
              <w:t xml:space="preserve">#1A1A1D</w:t>
            </w:r>
          </w:p>
          <w:p>
            <w:r>
              <w:rPr>
                <w:rFonts w:ascii="Arial" w:cs="Arial" w:eastAsia="Arial" w:hAnsi="Arial"/>
                <w:color w:val="71717A"/>
                <w:sz w:val="16"/>
                <w:szCs w:val="16"/>
              </w:rPr>
              <w:t xml:space="preserve">Surfaces</w:t>
            </w:r>
          </w:p>
        </w:tc>
        <w:tc>
          <w:tcPr>
            <w:tcW w:type="dxa" w:w="1872"/>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Graphite</w:t>
            </w:r>
          </w:p>
          <w:p>
            <w:pPr>
              <w:spacing w:after="40"/>
            </w:pPr>
            <w:r>
              <w:rPr>
                <w:rFonts w:ascii="Arial" w:cs="Arial" w:eastAsia="Arial" w:hAnsi="Arial"/>
                <w:color w:val="52525B"/>
                <w:sz w:val="18"/>
                <w:szCs w:val="18"/>
              </w:rPr>
              <w:t xml:space="preserve">#2A2A2E</w:t>
            </w:r>
          </w:p>
          <w:p>
            <w:r>
              <w:rPr>
                <w:rFonts w:ascii="Arial" w:cs="Arial" w:eastAsia="Arial" w:hAnsi="Arial"/>
                <w:color w:val="71717A"/>
                <w:sz w:val="16"/>
                <w:szCs w:val="16"/>
              </w:rPr>
              <w:t xml:space="preserve">Borders</w:t>
            </w:r>
          </w:p>
        </w:tc>
        <w:tc>
          <w:tcPr>
            <w:tcW w:type="dxa" w:w="1872"/>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Steel</w:t>
            </w:r>
          </w:p>
          <w:p>
            <w:pPr>
              <w:spacing w:after="40"/>
            </w:pPr>
            <w:r>
              <w:rPr>
                <w:rFonts w:ascii="Arial" w:cs="Arial" w:eastAsia="Arial" w:hAnsi="Arial"/>
                <w:color w:val="52525B"/>
                <w:sz w:val="18"/>
                <w:szCs w:val="18"/>
              </w:rPr>
              <w:t xml:space="preserve">#52525B</w:t>
            </w:r>
          </w:p>
          <w:p>
            <w:r>
              <w:rPr>
                <w:rFonts w:ascii="Arial" w:cs="Arial" w:eastAsia="Arial" w:hAnsi="Arial"/>
                <w:color w:val="71717A"/>
                <w:sz w:val="16"/>
                <w:szCs w:val="16"/>
              </w:rPr>
              <w:t xml:space="preserve">Secondary text</w:t>
            </w:r>
          </w:p>
        </w:tc>
        <w:tc>
          <w:tcPr>
            <w:tcW w:type="dxa" w:w="1872"/>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Silver</w:t>
            </w:r>
          </w:p>
          <w:p>
            <w:pPr>
              <w:spacing w:after="40"/>
            </w:pPr>
            <w:r>
              <w:rPr>
                <w:rFonts w:ascii="Arial" w:cs="Arial" w:eastAsia="Arial" w:hAnsi="Arial"/>
                <w:color w:val="52525B"/>
                <w:sz w:val="18"/>
                <w:szCs w:val="18"/>
              </w:rPr>
              <w:t xml:space="preserve">#71717A</w:t>
            </w:r>
          </w:p>
          <w:p>
            <w:r>
              <w:rPr>
                <w:rFonts w:ascii="Arial" w:cs="Arial" w:eastAsia="Arial" w:hAnsi="Arial"/>
                <w:color w:val="71717A"/>
                <w:sz w:val="16"/>
                <w:szCs w:val="16"/>
              </w:rPr>
              <w:t xml:space="preserve">Tertiary text</w:t>
            </w:r>
          </w:p>
        </w:tc>
        <w:tc>
          <w:tcPr>
            <w:tcW w:type="dxa" w:w="1872"/>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Cloud</w:t>
            </w:r>
          </w:p>
          <w:p>
            <w:pPr>
              <w:spacing w:after="40"/>
            </w:pPr>
            <w:r>
              <w:rPr>
                <w:rFonts w:ascii="Arial" w:cs="Arial" w:eastAsia="Arial" w:hAnsi="Arial"/>
                <w:color w:val="52525B"/>
                <w:sz w:val="18"/>
                <w:szCs w:val="18"/>
              </w:rPr>
              <w:t xml:space="preserve">#E4E4E7</w:t>
            </w:r>
          </w:p>
          <w:p>
            <w:r>
              <w:rPr>
                <w:rFonts w:ascii="Arial" w:cs="Arial" w:eastAsia="Arial" w:hAnsi="Arial"/>
                <w:color w:val="71717A"/>
                <w:sz w:val="16"/>
                <w:szCs w:val="16"/>
              </w:rPr>
              <w:t xml:space="preserve">Dividers</w:t>
            </w:r>
          </w:p>
        </w:tc>
      </w:tr>
    </w:tbl>
    <w:p>
      <w:pPr>
        <w:pStyle w:val="Heading2"/>
        <w:spacing w:before="360"/>
      </w:pPr>
      <w:r>
        <w:t xml:space="preserve">Violet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Violet Dark</w:t>
            </w:r>
          </w:p>
          <w:p>
            <w:pPr>
              <w:spacing w:after="40"/>
            </w:pPr>
            <w:r>
              <w:rPr>
                <w:rFonts w:ascii="Arial" w:cs="Arial" w:eastAsia="Arial" w:hAnsi="Arial"/>
                <w:color w:val="52525B"/>
                <w:sz w:val="18"/>
                <w:szCs w:val="18"/>
              </w:rPr>
              <w:t xml:space="preserve">#5B45B0</w:t>
            </w:r>
          </w:p>
          <w:p>
            <w:r>
              <w:rPr>
                <w:rFonts w:ascii="Arial" w:cs="Arial" w:eastAsia="Arial" w:hAnsi="Arial"/>
                <w:color w:val="71717A"/>
                <w:sz w:val="16"/>
                <w:szCs w:val="16"/>
              </w:rPr>
              <w:t xml:space="preserve">Hover states</w:t>
            </w:r>
          </w:p>
        </w:tc>
        <w:tc>
          <w:tcPr>
            <w:tcW w:type="dxa" w:w="3120"/>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Violet Light</w:t>
            </w:r>
          </w:p>
          <w:p>
            <w:pPr>
              <w:spacing w:after="40"/>
            </w:pPr>
            <w:r>
              <w:rPr>
                <w:rFonts w:ascii="Arial" w:cs="Arial" w:eastAsia="Arial" w:hAnsi="Arial"/>
                <w:color w:val="52525B"/>
                <w:sz w:val="18"/>
                <w:szCs w:val="18"/>
              </w:rPr>
              <w:t xml:space="preserve">#8B73E6</w:t>
            </w:r>
          </w:p>
          <w:p>
            <w:r>
              <w:rPr>
                <w:rFonts w:ascii="Arial" w:cs="Arial" w:eastAsia="Arial" w:hAnsi="Arial"/>
                <w:color w:val="71717A"/>
                <w:sz w:val="16"/>
                <w:szCs w:val="16"/>
              </w:rPr>
              <w:t xml:space="preserve">Active states</w:t>
            </w:r>
          </w:p>
        </w:tc>
        <w:tc>
          <w:tcPr>
            <w:tcW w:type="dxa" w:w="3120"/>
            <w:tcBorders>
              <w:top w:val="single" w:color="E4E4E7" w:sz="1"/>
              <w:left w:val="single" w:color="E4E4E7" w:sz="1"/>
              <w:bottom w:val="single" w:color="E4E4E7" w:sz="1"/>
              <w:right w:val="single" w:color="E4E4E7" w:sz="1"/>
            </w:tcBorders>
            <w:tcMar>
              <w:top w:type="dxa" w:w="80"/>
              <w:left w:type="dxa" w:w="120"/>
              <w:bottom w:type="dxa" w:w="80"/>
              <w:right w:type="dxa" w:w="120"/>
            </w:tcMar>
          </w:tcPr>
          <w:p>
            <w:pPr>
              <w:spacing w:after="80"/>
            </w:pPr>
            <w:r>
              <w:rPr>
                <w:rFonts w:ascii="Arial" w:cs="Arial" w:eastAsia="Arial" w:hAnsi="Arial"/>
                <w:b/>
                <w:bCs/>
                <w:sz w:val="20"/>
                <w:szCs w:val="20"/>
              </w:rPr>
              <w:t xml:space="preserve">Violet Muted</w:t>
            </w:r>
          </w:p>
          <w:p>
            <w:pPr>
              <w:spacing w:after="40"/>
            </w:pPr>
            <w:r>
              <w:rPr>
                <w:rFonts w:ascii="Arial" w:cs="Arial" w:eastAsia="Arial" w:hAnsi="Arial"/>
                <w:color w:val="52525B"/>
                <w:sz w:val="18"/>
                <w:szCs w:val="18"/>
              </w:rPr>
              <w:t xml:space="preserve">#EDE9FE</w:t>
            </w:r>
          </w:p>
          <w:p>
            <w:r>
              <w:rPr>
                <w:rFonts w:ascii="Arial" w:cs="Arial" w:eastAsia="Arial" w:hAnsi="Arial"/>
                <w:color w:val="71717A"/>
                <w:sz w:val="16"/>
                <w:szCs w:val="16"/>
              </w:rPr>
              <w:t xml:space="preserve">Backgrounds</w:t>
            </w:r>
          </w:p>
        </w:tc>
      </w:tr>
    </w:tbl>
    <w:p>
      <w:pPr>
        <w:pStyle w:val="Heading3"/>
        <w:spacing w:before="240"/>
      </w:pPr>
      <w:r>
        <w:t xml:space="preserve">Usage Rules</w:t>
      </w:r>
    </w:p>
    <w:p>
      <w:pPr>
        <w:pStyle w:val="ListParagraph"/>
        <w:numPr>
          <w:ilvl w:val="0"/>
          <w:numId w:val="2"/>
        </w:numPr>
        <w:spacing w:after="80"/>
      </w:pPr>
      <w:r>
        <w:t xml:space="preserve">Violet is reserved for interactive elements, the logo accent, and key calls to action</w:t>
      </w:r>
    </w:p>
    <w:p>
      <w:pPr>
        <w:pStyle w:val="ListParagraph"/>
        <w:numPr>
          <w:ilvl w:val="0"/>
          <w:numId w:val="2"/>
        </w:numPr>
        <w:spacing w:after="80"/>
      </w:pPr>
      <w:r>
        <w:t xml:space="preserve">Never use violet for large background areas — use Violet Muted (#EDE9FE) sparingly instead</w:t>
      </w:r>
    </w:p>
    <w:p>
      <w:pPr>
        <w:pStyle w:val="ListParagraph"/>
        <w:numPr>
          <w:ilvl w:val="0"/>
          <w:numId w:val="2"/>
        </w:numPr>
        <w:spacing w:after="200"/>
      </w:pPr>
      <w:r>
        <w:t xml:space="preserve">Maintain WCAG AA contrast ratios: Ink on Snow (21:1), Violet on Snow (4.6:1), Snow on Ink (21:1)</w:t>
      </w:r>
    </w:p>
    <w:p>
      <w:r>
        <w:br w:type="page"/>
      </w:r>
    </w:p>
    <w:p>
      <w:pPr>
        <w:pStyle w:val="Heading1"/>
      </w:pPr>
      <w:r>
        <w:t xml:space="preserve">Typography</w:t>
      </w:r>
    </w:p>
    <w:p>
      <w:pPr>
        <w:spacing w:after="200"/>
      </w:pPr>
      <w:r>
        <w:rPr>
          <w:b/>
          <w:bCs/>
        </w:rPr>
        <w:t xml:space="preserve">Inter</w:t>
      </w:r>
      <w:r>
        <w:t xml:space="preserve"> is the primary typeface across all Knol applications. Designed for screens, Inter offers excellent legibility at small sizes and a clean, neutral character that complements our minimal aesthetic. Use </w:t>
      </w:r>
      <w:r>
        <w:rPr>
          <w:b/>
          <w:bCs/>
        </w:rPr>
        <w:t xml:space="preserve">JetBrains Mono</w:t>
      </w:r>
      <w:r>
        <w:t xml:space="preserve"> for code samples, API references, and technical documentation.</w:t>
      </w:r>
    </w:p>
    <w:p>
      <w:pPr>
        <w:pStyle w:val="Heading2"/>
      </w:pPr>
      <w: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tcPr>
          <w:p>
            <w:r>
              <w:rPr>
                <w:b/>
                <w:bCs/>
                <w:sz w:val="18"/>
                <w:szCs w:val="18"/>
              </w:rPr>
              <w:t xml:space="preserve">Role</w:t>
            </w:r>
          </w:p>
        </w:tc>
        <w:tc>
          <w:tcPr>
            <w:tcW w:type="dxa" w:w="2340"/>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tcPr>
          <w:p>
            <w:r>
              <w:rPr>
                <w:b/>
                <w:bCs/>
                <w:sz w:val="18"/>
                <w:szCs w:val="18"/>
              </w:rPr>
              <w:t xml:space="preserve">Size</w:t>
            </w:r>
          </w:p>
        </w:tc>
        <w:tc>
          <w:tcPr>
            <w:tcW w:type="dxa" w:w="2340"/>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tcPr>
          <w:p>
            <w:r>
              <w:rPr>
                <w:b/>
                <w:bCs/>
                <w:sz w:val="18"/>
                <w:szCs w:val="18"/>
              </w:rPr>
              <w:t xml:space="preserve">Weight</w:t>
            </w:r>
          </w:p>
        </w:tc>
        <w:tc>
          <w:tcPr>
            <w:tcW w:type="dxa" w:w="2340"/>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tcPr>
          <w:p>
            <w:r>
              <w:rPr>
                <w:b/>
                <w:bCs/>
                <w:sz w:val="18"/>
                <w:szCs w:val="18"/>
              </w:rPr>
              <w:t xml:space="preserve">Tracking</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Display</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48px / 3rem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Medium 500</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-0.04em</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H1</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36px / 2.25rem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Semibold 600</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-0.03em</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H2</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28px / 1.75rem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Semibold 600</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-0.02em</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H3</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22px / 1.375rem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Medium 500</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-0.01em</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Body</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16px / 1rem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Regular 400</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Body Small</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14px / 0.875rem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Regular 400</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Caption</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12px / 0.75rem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Medium 500</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0.02em</w:t>
            </w:r>
          </w:p>
        </w:tc>
      </w:tr>
      <w:tr>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sz w:val="20"/>
                <w:szCs w:val="20"/>
              </w:rPr>
              <w:t xml:space="preserve">Code</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14px / 0.875rem</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Regular 400 (Mono)</w:t>
            </w:r>
          </w:p>
        </w:tc>
        <w:tc>
          <w:tcPr>
            <w:tcW w:type="dxa" w:w="234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20"/>
                <w:szCs w:val="20"/>
              </w:rPr>
              <w:t xml:space="preserve">0</w:t>
            </w:r>
          </w:p>
        </w:tc>
      </w:tr>
    </w:tbl>
    <w:p>
      <w:pPr>
        <w:pStyle w:val="Heading3"/>
        <w:spacing w:before="240"/>
      </w:pPr>
      <w:r>
        <w:t xml:space="preserve">Typography Rules</w:t>
      </w:r>
    </w:p>
    <w:p>
      <w:pPr>
        <w:pStyle w:val="ListParagraph"/>
        <w:numPr>
          <w:ilvl w:val="0"/>
          <w:numId w:val="2"/>
        </w:numPr>
        <w:spacing w:after="80"/>
      </w:pPr>
      <w:r>
        <w:t xml:space="preserve">Line height: 1.5 for body text, 1.2 for headings</w:t>
      </w:r>
    </w:p>
    <w:p>
      <w:pPr>
        <w:pStyle w:val="ListParagraph"/>
        <w:numPr>
          <w:ilvl w:val="0"/>
          <w:numId w:val="2"/>
        </w:numPr>
        <w:spacing w:after="80"/>
      </w:pPr>
      <w:r>
        <w:t xml:space="preserve">Maximum content width: 680px for long-form reading</w:t>
      </w:r>
    </w:p>
    <w:p>
      <w:pPr>
        <w:pStyle w:val="ListParagraph"/>
        <w:numPr>
          <w:ilvl w:val="0"/>
          <w:numId w:val="2"/>
        </w:numPr>
        <w:spacing w:after="80"/>
      </w:pPr>
      <w:r>
        <w:t xml:space="preserve">Use sentence case for all headings and UI labels</w:t>
      </w:r>
    </w:p>
    <w:p>
      <w:pPr>
        <w:pStyle w:val="ListParagraph"/>
        <w:numPr>
          <w:ilvl w:val="0"/>
          <w:numId w:val="2"/>
        </w:numPr>
        <w:spacing w:after="200"/>
      </w:pPr>
      <w:r>
        <w:t xml:space="preserve">Avoid italic text in UI — reserve for editorial emphasis in documentation</w:t>
      </w:r>
    </w:p>
    <w:p>
      <w:r>
        <w:br w:type="page"/>
      </w:r>
    </w:p>
    <w:p>
      <w:pPr>
        <w:pStyle w:val="Heading1"/>
      </w:pPr>
      <w:r>
        <w:t xml:space="preserve">Digital Applications</w:t>
      </w:r>
    </w:p>
    <w:p>
      <w:pPr>
        <w:pStyle w:val="Heading2"/>
      </w:pPr>
      <w:r>
        <w:t xml:space="preserve">Website</w:t>
      </w:r>
    </w:p>
    <w:p>
      <w:pPr>
        <w:spacing w:after="200"/>
      </w:pPr>
      <w:r>
        <w:t xml:space="preserve">The website uses a dark-first design with the Ink background as the primary canvas. Content sections alternate between Ink and Snow backgrounds to create rhythm. Code examples use the Charcoal surface with syntax highlighting that follows the Knol palette.</w:t>
      </w:r>
    </w:p>
    <w:p>
      <w:pPr>
        <w:pStyle w:val="Heading2"/>
      </w:pPr>
      <w:r>
        <w:t xml:space="preserve">Documentation</w:t>
      </w:r>
    </w:p>
    <w:p>
      <w:pPr>
        <w:spacing w:after="200"/>
      </w:pPr>
      <w:r>
        <w:t xml:space="preserve">Documentation uses a light theme (Snow background) for readability during extended reading. The sidebar navigation uses the neutral scale for hierarchy. Code blocks use Charcoal backgrounds for visual separation.</w:t>
      </w:r>
    </w:p>
    <w:p>
      <w:pPr>
        <w:pStyle w:val="Heading2"/>
      </w:pPr>
      <w:r>
        <w:t xml:space="preserve">Social &amp; Marketing</w:t>
      </w:r>
    </w:p>
    <w:p>
      <w:pPr>
        <w:spacing w:after="200"/>
      </w:pPr>
      <w:r>
        <w:t xml:space="preserve">Social media posts use the Ink background with Snow text. The OG image template features the combination logo centered with the tagline below. Keep social copy concise and technical — avoid emoji-heavy marketing language.</w:t>
      </w:r>
    </w:p>
    <w:p>
      <w:pPr>
        <w:pStyle w:val="Heading2"/>
      </w:pPr>
      <w:r>
        <w:t xml:space="preserve">Spacing System</w:t>
      </w:r>
    </w:p>
    <w:p>
      <w:pPr>
        <w:spacing w:after="200"/>
      </w:pPr>
      <w:r>
        <w:t xml:space="preserve">Use a 4px base unit. Common increments: 4, 8, 12, 16, 24, 32, 48, 64, 96, 128. Generous whitespace is fundamental to the Knol identity — when in doubt, add more space.</w:t>
      </w:r>
    </w:p>
    <w:p>
      <w:pPr>
        <w:pStyle w:val="Heading2"/>
      </w:pPr>
      <w:r>
        <w:t xml:space="preserve">Border Radius</w:t>
      </w:r>
    </w:p>
    <w:p>
      <w:pPr>
        <w:spacing w:after="200"/>
      </w:pPr>
      <w:r>
        <w:t xml:space="preserve">Default radius: 8px for cards and containers, 6px for buttons and inputs, 4px for tags and badges, 14px for the logo container. Avoid fully rounded (pill) shapes except for avatar placeholders.</w:t>
      </w:r>
    </w:p>
    <w:p>
      <w:r>
        <w:br w:type="page"/>
      </w:r>
    </w:p>
    <w:p>
      <w:pPr>
        <w:pStyle w:val="Heading1"/>
      </w:pPr>
      <w:r>
        <w:t xml:space="preserve">Asset Inventory</w:t>
      </w:r>
    </w:p>
    <w:p>
      <w:pPr>
        <w:spacing w:after="200"/>
      </w:pPr>
      <w:r>
        <w:t xml:space="preserve">All brand assets are located in the </w:t>
      </w:r>
      <w:r>
        <w:rPr>
          <w:b/>
          <w:bCs/>
        </w:rPr>
        <w:t xml:space="preserve">brand/</w:t>
      </w:r>
      <w:r>
        <w:t xml:space="preserve"> directory of the Knol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tcPr>
          <w:p>
            <w:r>
              <w:rPr>
                <w:b/>
                <w:bCs/>
                <w:sz w:val="18"/>
                <w:szCs w:val="18"/>
              </w:rPr>
              <w:t xml:space="preserve">File</w:t>
            </w:r>
          </w:p>
        </w:tc>
        <w:tc>
          <w:tcPr>
            <w:tcW w:type="dxa" w:w="4680"/>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tcPr>
          <w:p>
            <w:r>
              <w:rPr>
                <w:b/>
                <w:bCs/>
                <w:sz w:val="18"/>
                <w:szCs w:val="18"/>
              </w:rPr>
              <w:t xml:space="preserve">Description</w:t>
            </w:r>
          </w:p>
        </w:tc>
      </w:tr>
      <w:tr>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rFonts w:ascii="Courier New" w:cs="Courier New" w:eastAsia="Courier New" w:hAnsi="Courier New"/>
                <w:color w:val="6E56CF"/>
                <w:sz w:val="18"/>
                <w:szCs w:val="18"/>
              </w:rPr>
              <w:t xml:space="preserve">logos/knol-icon.svg</w:t>
            </w:r>
          </w:p>
        </w:tc>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18"/>
                <w:szCs w:val="18"/>
              </w:rPr>
              <w:t xml:space="preserve">Icon mark — dark background</w:t>
            </w:r>
          </w:p>
        </w:tc>
      </w:tr>
      <w:tr>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rFonts w:ascii="Courier New" w:cs="Courier New" w:eastAsia="Courier New" w:hAnsi="Courier New"/>
                <w:color w:val="6E56CF"/>
                <w:sz w:val="18"/>
                <w:szCs w:val="18"/>
              </w:rPr>
              <w:t xml:space="preserve">logos/knol-wordmark.svg</w:t>
            </w:r>
          </w:p>
        </w:tc>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18"/>
                <w:szCs w:val="18"/>
              </w:rPr>
              <w:t xml:space="preserve">Wordmark — dark text on light</w:t>
            </w:r>
          </w:p>
        </w:tc>
      </w:tr>
      <w:tr>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rFonts w:ascii="Courier New" w:cs="Courier New" w:eastAsia="Courier New" w:hAnsi="Courier New"/>
                <w:color w:val="6E56CF"/>
                <w:sz w:val="18"/>
                <w:szCs w:val="18"/>
              </w:rPr>
              <w:t xml:space="preserve">logos/knol-wordmark-white.svg</w:t>
            </w:r>
          </w:p>
        </w:tc>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18"/>
                <w:szCs w:val="18"/>
              </w:rPr>
              <w:t xml:space="preserve">Wordmark — light text on dark</w:t>
            </w:r>
          </w:p>
        </w:tc>
      </w:tr>
      <w:tr>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rFonts w:ascii="Courier New" w:cs="Courier New" w:eastAsia="Courier New" w:hAnsi="Courier New"/>
                <w:color w:val="6E56CF"/>
                <w:sz w:val="18"/>
                <w:szCs w:val="18"/>
              </w:rPr>
              <w:t xml:space="preserve">logos/knol-combo.svg</w:t>
            </w:r>
          </w:p>
        </w:tc>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18"/>
                <w:szCs w:val="18"/>
              </w:rPr>
              <w:t xml:space="preserve">Combination mark — dark</w:t>
            </w:r>
          </w:p>
        </w:tc>
      </w:tr>
      <w:tr>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rFonts w:ascii="Courier New" w:cs="Courier New" w:eastAsia="Courier New" w:hAnsi="Courier New"/>
                <w:color w:val="6E56CF"/>
                <w:sz w:val="18"/>
                <w:szCs w:val="18"/>
              </w:rPr>
              <w:t xml:space="preserve">logos/knol-combo-white.svg</w:t>
            </w:r>
          </w:p>
        </w:tc>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18"/>
                <w:szCs w:val="18"/>
              </w:rPr>
              <w:t xml:space="preserve">Combination mark — light (inverted)</w:t>
            </w:r>
          </w:p>
        </w:tc>
      </w:tr>
      <w:tr>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rFonts w:ascii="Courier New" w:cs="Courier New" w:eastAsia="Courier New" w:hAnsi="Courier New"/>
                <w:color w:val="6E56CF"/>
                <w:sz w:val="18"/>
                <w:szCs w:val="18"/>
              </w:rPr>
              <w:t xml:space="preserve">assets/favicon.svg</w:t>
            </w:r>
          </w:p>
        </w:tc>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18"/>
                <w:szCs w:val="18"/>
              </w:rPr>
              <w:t xml:space="preserve">Browser favicon (32x32 viewBox)</w:t>
            </w:r>
          </w:p>
        </w:tc>
      </w:tr>
      <w:tr>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rFonts w:ascii="Courier New" w:cs="Courier New" w:eastAsia="Courier New" w:hAnsi="Courier New"/>
                <w:color w:val="6E56CF"/>
                <w:sz w:val="18"/>
                <w:szCs w:val="18"/>
              </w:rPr>
              <w:t xml:space="preserve">assets/og-image.svg</w:t>
            </w:r>
          </w:p>
        </w:tc>
        <w:tc>
          <w:tcPr>
            <w:tcW w:type="dxa" w:w="4680"/>
            <w:tcBorders>
              <w:top w:val="single" w:color="E4E4E7" w:sz="1"/>
              <w:left w:val="single" w:color="E4E4E7" w:sz="1"/>
              <w:bottom w:val="single" w:color="E4E4E7" w:sz="1"/>
              <w:right w:val="single" w:color="E4E4E7" w:sz="1"/>
            </w:tcBorders>
            <w:tcMar>
              <w:top w:type="dxa" w:w="60"/>
              <w:left w:type="dxa" w:w="120"/>
              <w:bottom w:type="dxa" w:w="60"/>
              <w:right w:type="dxa" w:w="120"/>
            </w:tcMar>
          </w:tcPr>
          <w:p>
            <w:r>
              <w:rPr>
                <w:color w:val="52525B"/>
                <w:sz w:val="18"/>
                <w:szCs w:val="18"/>
              </w:rPr>
              <w:t xml:space="preserve">Open Graph image (1200x630)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1A1AA"/>
        <w:sz w:val="16"/>
        <w:szCs w:val="16"/>
      </w:rPr>
      <w:t xml:space="preserve">Page </w:t>
    </w:r>
    <w:r>
      <w:rPr>
        <w:rFonts w:ascii="Arial" w:cs="Arial" w:eastAsia="Arial" w:hAnsi="Arial"/>
        <w:color w:val="A1A1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1A1AA"/>
        <w:sz w:val="16"/>
        <w:szCs w:val="16"/>
      </w:rPr>
      <w:t xml:space="preserve">Knol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A0A0B"/>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0A0A0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2026-02-16T03:46:18.712Z</dcterms:created>
  <dcterms:modified xsi:type="dcterms:W3CDTF">2026-02-16T03:46:18.712Z</dcterms:modified>
</cp:coreProperties>
</file>

<file path=docProps/custom.xml><?xml version="1.0" encoding="utf-8"?>
<Properties xmlns="http://schemas.openxmlformats.org/officeDocument/2006/custom-properties" xmlns:vt="http://schemas.openxmlformats.org/officeDocument/2006/docPropsVTypes"/>
</file>