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84E" w:rsidRDefault="000A284E" w:rsidP="000A284E">
      <w:pPr>
        <w:spacing w:after="0"/>
        <w:rPr>
          <w:rFonts w:asciiTheme="majorHAnsi" w:hAnsiTheme="majorHAnsi"/>
          <w:b/>
        </w:rPr>
      </w:pPr>
    </w:p>
    <w:p w:rsidR="000A284E" w:rsidRPr="001B082D" w:rsidRDefault="000A284E" w:rsidP="000A284E">
      <w:pPr>
        <w:spacing w:after="0"/>
        <w:rPr>
          <w:rFonts w:asciiTheme="majorHAnsi" w:hAnsiTheme="majorHAnsi"/>
          <w:b/>
          <w:sz w:val="16"/>
        </w:rPr>
      </w:pPr>
    </w:p>
    <w:p w:rsidR="000A284E" w:rsidRPr="001B082D" w:rsidRDefault="000A284E" w:rsidP="00BB4E62">
      <w:pPr>
        <w:spacing w:after="0" w:line="240" w:lineRule="auto"/>
        <w:rPr>
          <w:rFonts w:ascii="Brush Script MT" w:hAnsi="Brush Script MT"/>
          <w:i/>
          <w:color w:val="5F497A" w:themeColor="accent4" w:themeShade="BF"/>
          <w:sz w:val="52"/>
        </w:rPr>
      </w:pPr>
      <w:r w:rsidRPr="001B082D">
        <w:rPr>
          <w:rFonts w:ascii="Brush Script MT" w:hAnsi="Brush Script MT"/>
          <w:i/>
          <w:color w:val="5F497A" w:themeColor="accent4" w:themeShade="BF"/>
          <w:sz w:val="52"/>
        </w:rPr>
        <w:t>Call for Papers</w:t>
      </w:r>
    </w:p>
    <w:p w:rsidR="000A284E" w:rsidRPr="001B082D" w:rsidRDefault="000A284E" w:rsidP="001A0F23">
      <w:pPr>
        <w:spacing w:after="0"/>
        <w:ind w:right="-18"/>
        <w:rPr>
          <w:rFonts w:ascii="Trajan Pro" w:hAnsi="Trajan Pro"/>
          <w:b/>
          <w:sz w:val="32"/>
        </w:rPr>
      </w:pPr>
      <w:r w:rsidRPr="001B082D">
        <w:rPr>
          <w:rFonts w:ascii="Trajan Pro" w:hAnsi="Trajan Pro"/>
          <w:b/>
          <w:sz w:val="36"/>
        </w:rPr>
        <w:t xml:space="preserve">ACM Transactions </w:t>
      </w:r>
      <w:r w:rsidR="00BB4E62" w:rsidRPr="001B082D">
        <w:rPr>
          <w:rFonts w:ascii="Trajan Pro" w:hAnsi="Trajan Pro"/>
          <w:b/>
          <w:sz w:val="36"/>
        </w:rPr>
        <w:t>on Management Information System</w:t>
      </w:r>
      <w:r w:rsidRPr="001B082D">
        <w:rPr>
          <w:rFonts w:ascii="Trajan Pro" w:hAnsi="Trajan Pro"/>
          <w:b/>
          <w:sz w:val="36"/>
        </w:rPr>
        <w:t xml:space="preserve">s </w:t>
      </w:r>
      <w:r w:rsidR="00BB4E62" w:rsidRPr="001B082D">
        <w:rPr>
          <w:rFonts w:ascii="Trajan Pro" w:hAnsi="Trajan Pro"/>
          <w:b/>
          <w:sz w:val="36"/>
        </w:rPr>
        <w:t xml:space="preserve"> </w:t>
      </w:r>
      <w:r w:rsidRPr="001B082D">
        <w:rPr>
          <w:rFonts w:ascii="Trajan Pro" w:hAnsi="Trajan Pro"/>
          <w:b/>
          <w:sz w:val="36"/>
        </w:rPr>
        <w:t>(ACM TMIS)</w:t>
      </w:r>
    </w:p>
    <w:p w:rsidR="000A284E" w:rsidRPr="000A284E" w:rsidRDefault="000A284E" w:rsidP="000A284E">
      <w:pPr>
        <w:spacing w:after="0"/>
        <w:jc w:val="both"/>
        <w:rPr>
          <w:rFonts w:ascii="Trajan Pro" w:hAnsi="Trajan Pro"/>
          <w:b/>
          <w:sz w:val="20"/>
        </w:rPr>
      </w:pPr>
    </w:p>
    <w:p w:rsidR="000A284E" w:rsidRPr="001A0F23" w:rsidRDefault="000A284E" w:rsidP="005330C4">
      <w:pPr>
        <w:spacing w:after="0"/>
        <w:ind w:right="-288"/>
        <w:jc w:val="center"/>
        <w:rPr>
          <w:rFonts w:ascii="Rockwell" w:hAnsi="Rockwell"/>
          <w:sz w:val="26"/>
          <w:szCs w:val="26"/>
        </w:rPr>
      </w:pPr>
      <w:r w:rsidRPr="001A0F23">
        <w:rPr>
          <w:rFonts w:ascii="Rockwell" w:hAnsi="Rockwell"/>
          <w:sz w:val="28"/>
          <w:szCs w:val="26"/>
        </w:rPr>
        <w:t>Special Issue on Informatics for Smart Health and Wellbeing</w:t>
      </w:r>
    </w:p>
    <w:p w:rsidR="000A284E" w:rsidRDefault="000A284E" w:rsidP="000A284E">
      <w:pPr>
        <w:spacing w:after="0"/>
        <w:jc w:val="both"/>
        <w:rPr>
          <w:rFonts w:asciiTheme="majorHAnsi" w:hAnsiTheme="majorHAnsi"/>
        </w:rPr>
      </w:pPr>
    </w:p>
    <w:p w:rsidR="005330C4" w:rsidRDefault="000A284E" w:rsidP="005330C4">
      <w:pPr>
        <w:spacing w:after="0" w:line="240" w:lineRule="auto"/>
        <w:ind w:right="-288"/>
        <w:jc w:val="both"/>
        <w:rPr>
          <w:rFonts w:asciiTheme="majorHAnsi" w:hAnsiTheme="majorHAnsi"/>
          <w:sz w:val="18"/>
        </w:rPr>
      </w:pPr>
      <w:r w:rsidRPr="005330C4">
        <w:rPr>
          <w:rFonts w:asciiTheme="majorHAnsi" w:hAnsiTheme="majorHAnsi"/>
          <w:b/>
          <w:i/>
          <w:sz w:val="32"/>
        </w:rPr>
        <w:t>D</w:t>
      </w:r>
      <w:r w:rsidRPr="005330C4">
        <w:rPr>
          <w:rFonts w:asciiTheme="majorHAnsi" w:hAnsiTheme="majorHAnsi"/>
          <w:sz w:val="18"/>
        </w:rPr>
        <w:t xml:space="preserve">espite a substantial percentage of GDP spent on healthcare per year, preventable medical errors </w:t>
      </w:r>
    </w:p>
    <w:p w:rsidR="000A284E" w:rsidRPr="005330C4" w:rsidRDefault="001A0F23" w:rsidP="005330C4">
      <w:pPr>
        <w:spacing w:after="0"/>
        <w:ind w:right="-288"/>
        <w:jc w:val="both"/>
        <w:rPr>
          <w:rFonts w:asciiTheme="majorHAnsi" w:hAnsiTheme="majorHAnsi"/>
          <w:sz w:val="18"/>
        </w:rPr>
      </w:pPr>
      <w:r w:rsidRPr="005330C4">
        <w:rPr>
          <w:rFonts w:asciiTheme="majorHAnsi" w:hAnsiTheme="majorHAnsi"/>
          <w:b/>
          <w:i/>
          <w:noProof/>
          <w:sz w:val="32"/>
        </w:rPr>
        <w:drawing>
          <wp:anchor distT="0" distB="0" distL="114300" distR="114300" simplePos="0" relativeHeight="251659264" behindDoc="0" locked="0" layoutInCell="1" allowOverlap="1" wp14:anchorId="2EA65EAB" wp14:editId="3F8A8D14">
            <wp:simplePos x="0" y="0"/>
            <wp:positionH relativeFrom="column">
              <wp:posOffset>-2588895</wp:posOffset>
            </wp:positionH>
            <wp:positionV relativeFrom="paragraph">
              <wp:posOffset>211455</wp:posOffset>
            </wp:positionV>
            <wp:extent cx="5682615" cy="887730"/>
            <wp:effectExtent l="111443" t="60007" r="86677" b="143828"/>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M-TMIS-banner1.png"/>
                    <pic:cNvPicPr/>
                  </pic:nvPicPr>
                  <pic:blipFill>
                    <a:blip r:embed="rId7">
                      <a:extLst>
                        <a:ext uri="{BEBA8EAE-BF5A-486C-A8C5-ECC9F3942E4B}">
                          <a14:imgProps xmlns:a14="http://schemas.microsoft.com/office/drawing/2010/main">
                            <a14:imgLayer r:embed="rId8">
                              <a14:imgEffect>
                                <a14:artisticCrisscrossEtching/>
                              </a14:imgEffect>
                            </a14:imgLayer>
                          </a14:imgProps>
                        </a:ext>
                        <a:ext uri="{28A0092B-C50C-407E-A947-70E740481C1C}">
                          <a14:useLocalDpi xmlns:a14="http://schemas.microsoft.com/office/drawing/2010/main" val="0"/>
                        </a:ext>
                      </a:extLst>
                    </a:blip>
                    <a:stretch>
                      <a:fillRect/>
                    </a:stretch>
                  </pic:blipFill>
                  <pic:spPr>
                    <a:xfrm rot="16200000">
                      <a:off x="0" y="0"/>
                      <a:ext cx="5682615" cy="8877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0A284E" w:rsidRPr="005330C4">
        <w:rPr>
          <w:rFonts w:asciiTheme="majorHAnsi" w:hAnsiTheme="majorHAnsi"/>
          <w:sz w:val="18"/>
        </w:rPr>
        <w:t>are still inevitable due to fragmentation of medical information. In recent years, a significant effort has been placed on advancing information technology for effective healthcare and wellness in both academic and industrial applications. There is increased effort to transform reactive care to proactive and preventive care, clinic-centric to patient-centered practice, training-based interventions to globally aggregated evidence, and episodic response to continuous well-being monitoring and maintenance. To address the challenge of smart health and wellbeing we need to include the following (a) an interoperable, digital infrastructure of shareable health data and knowledge, (b) utilizing diverse data to provide automated and augmented insight, discovery, and evidence-based health and wellness decision support systems, (c) a cyber-based empowering of patients and healthy individuals that enables them to play a substantial role in their own health and treatment, (d) monitoring and assisting individuals using intelligent systems (including sensors, devices, and robotics) to maintain function and independence, and e) technologies such as data/text mining that assist in the management, curation, discovery of new knowledge for decision support.</w:t>
      </w:r>
    </w:p>
    <w:p w:rsidR="00A60744" w:rsidRPr="005330C4" w:rsidRDefault="00A60744" w:rsidP="005330C4">
      <w:pPr>
        <w:spacing w:after="0"/>
        <w:ind w:right="-288"/>
        <w:jc w:val="both"/>
        <w:rPr>
          <w:rFonts w:asciiTheme="majorHAnsi" w:hAnsiTheme="majorHAnsi"/>
          <w:sz w:val="18"/>
        </w:rPr>
      </w:pPr>
    </w:p>
    <w:p w:rsidR="000A284E" w:rsidRPr="005330C4" w:rsidRDefault="000A284E" w:rsidP="005330C4">
      <w:pPr>
        <w:spacing w:after="0"/>
        <w:ind w:right="-288"/>
        <w:jc w:val="both"/>
        <w:rPr>
          <w:rFonts w:asciiTheme="majorHAnsi" w:hAnsiTheme="majorHAnsi"/>
          <w:sz w:val="18"/>
        </w:rPr>
      </w:pPr>
      <w:r w:rsidRPr="005330C4">
        <w:rPr>
          <w:rFonts w:asciiTheme="majorHAnsi" w:hAnsiTheme="majorHAnsi"/>
          <w:b/>
          <w:i/>
          <w:sz w:val="32"/>
        </w:rPr>
        <w:t>I</w:t>
      </w:r>
      <w:r w:rsidRPr="005330C4">
        <w:rPr>
          <w:rFonts w:asciiTheme="majorHAnsi" w:hAnsiTheme="majorHAnsi"/>
          <w:sz w:val="18"/>
        </w:rPr>
        <w:t>n this special issue, we are pa</w:t>
      </w:r>
      <w:r w:rsidR="00360640">
        <w:rPr>
          <w:rFonts w:asciiTheme="majorHAnsi" w:hAnsiTheme="majorHAnsi"/>
          <w:sz w:val="18"/>
        </w:rPr>
        <w:t>r</w:t>
      </w:r>
      <w:r w:rsidRPr="005330C4">
        <w:rPr>
          <w:rFonts w:asciiTheme="majorHAnsi" w:hAnsiTheme="majorHAnsi"/>
          <w:sz w:val="18"/>
        </w:rPr>
        <w:t>ticularly interested in system-oriented and research papers accompanied with an in-depth evaluation.</w:t>
      </w:r>
    </w:p>
    <w:p w:rsidR="000A284E" w:rsidRDefault="000A284E" w:rsidP="000A284E">
      <w:pPr>
        <w:spacing w:after="0"/>
        <w:rPr>
          <w:rFonts w:asciiTheme="majorHAnsi" w:hAnsiTheme="majorHAnsi"/>
        </w:rPr>
      </w:pPr>
    </w:p>
    <w:p w:rsidR="000A284E" w:rsidRPr="005330C4" w:rsidRDefault="000A284E" w:rsidP="005330C4">
      <w:pPr>
        <w:spacing w:after="0"/>
        <w:ind w:left="-450" w:right="-288"/>
        <w:rPr>
          <w:rFonts w:asciiTheme="majorHAnsi" w:hAnsiTheme="majorHAnsi"/>
          <w:sz w:val="20"/>
        </w:rPr>
      </w:pPr>
      <w:r w:rsidRPr="001B082D">
        <w:rPr>
          <w:rFonts w:asciiTheme="majorHAnsi" w:hAnsiTheme="majorHAnsi"/>
          <w:b/>
          <w:sz w:val="32"/>
        </w:rPr>
        <w:t>Topics of interest</w:t>
      </w:r>
      <w:r w:rsidRPr="000A284E">
        <w:rPr>
          <w:rFonts w:asciiTheme="majorHAnsi" w:hAnsiTheme="majorHAnsi"/>
          <w:b/>
          <w:sz w:val="24"/>
        </w:rPr>
        <w:t xml:space="preserve"> </w:t>
      </w:r>
      <w:r w:rsidRPr="005330C4">
        <w:rPr>
          <w:rFonts w:asciiTheme="majorHAnsi" w:hAnsiTheme="majorHAnsi"/>
          <w:sz w:val="20"/>
        </w:rPr>
        <w:t xml:space="preserve">include but </w:t>
      </w:r>
      <w:r w:rsidR="001B082D" w:rsidRPr="005330C4">
        <w:rPr>
          <w:rFonts w:asciiTheme="majorHAnsi" w:hAnsiTheme="majorHAnsi"/>
          <w:sz w:val="20"/>
        </w:rPr>
        <w:t xml:space="preserve">are </w:t>
      </w:r>
      <w:r w:rsidRPr="005330C4">
        <w:rPr>
          <w:rFonts w:asciiTheme="majorHAnsi" w:hAnsiTheme="majorHAnsi"/>
          <w:sz w:val="20"/>
        </w:rPr>
        <w:t>not limited to:</w:t>
      </w:r>
    </w:p>
    <w:p w:rsidR="005330C4" w:rsidRPr="005330C4" w:rsidRDefault="005330C4" w:rsidP="005330C4">
      <w:pPr>
        <w:pStyle w:val="ListParagraph"/>
        <w:tabs>
          <w:tab w:val="left" w:pos="0"/>
        </w:tabs>
        <w:spacing w:after="0"/>
        <w:ind w:left="144" w:right="-288"/>
        <w:rPr>
          <w:rFonts w:asciiTheme="majorHAnsi" w:hAnsiTheme="majorHAnsi"/>
          <w:sz w:val="20"/>
        </w:rPr>
      </w:pPr>
      <w:r w:rsidRPr="001A0F23">
        <w:rPr>
          <w:rFonts w:ascii="Times New Roman" w:hAnsi="Times New Roman" w:cs="Times New Roman"/>
          <w:b/>
          <w:sz w:val="14"/>
          <w:szCs w:val="14"/>
        </w:rPr>
        <w:t>●</w:t>
      </w:r>
      <w:r w:rsidRPr="005330C4">
        <w:rPr>
          <w:rFonts w:asciiTheme="majorHAnsi" w:hAnsiTheme="majorHAnsi"/>
          <w:sz w:val="20"/>
        </w:rPr>
        <w:t xml:space="preserve"> </w:t>
      </w:r>
      <w:r w:rsidR="000A284E" w:rsidRPr="005330C4">
        <w:rPr>
          <w:rFonts w:asciiTheme="majorHAnsi" w:hAnsiTheme="majorHAnsi"/>
          <w:sz w:val="20"/>
        </w:rPr>
        <w:t xml:space="preserve">Better access to relevant information: sharing, integrating and providing </w:t>
      </w:r>
    </w:p>
    <w:p w:rsidR="000A284E" w:rsidRPr="005330C4" w:rsidRDefault="005330C4" w:rsidP="005330C4">
      <w:pPr>
        <w:pStyle w:val="ListParagraph"/>
        <w:tabs>
          <w:tab w:val="left" w:pos="0"/>
        </w:tabs>
        <w:spacing w:after="0"/>
        <w:ind w:left="144" w:right="-288"/>
        <w:rPr>
          <w:rFonts w:asciiTheme="majorHAnsi" w:hAnsiTheme="majorHAnsi"/>
          <w:sz w:val="20"/>
        </w:rPr>
      </w:pPr>
      <w:r w:rsidRPr="005330C4">
        <w:rPr>
          <w:rFonts w:asciiTheme="majorHAnsi" w:hAnsiTheme="majorHAnsi"/>
          <w:sz w:val="20"/>
        </w:rPr>
        <w:t xml:space="preserve">  </w:t>
      </w:r>
      <w:r w:rsidR="000A284E" w:rsidRPr="005330C4">
        <w:rPr>
          <w:rFonts w:asciiTheme="majorHAnsi" w:hAnsiTheme="majorHAnsi"/>
          <w:sz w:val="20"/>
        </w:rPr>
        <w:t>information</w:t>
      </w:r>
    </w:p>
    <w:p w:rsidR="000A284E" w:rsidRPr="005330C4" w:rsidRDefault="005330C4" w:rsidP="005330C4">
      <w:pPr>
        <w:pStyle w:val="ListParagraph"/>
        <w:spacing w:after="0"/>
        <w:ind w:left="360" w:right="-288"/>
        <w:rPr>
          <w:rFonts w:asciiTheme="majorHAnsi" w:hAnsiTheme="majorHAnsi"/>
          <w:sz w:val="20"/>
        </w:rPr>
      </w:pPr>
      <w:r w:rsidRPr="001A0F23">
        <w:rPr>
          <w:rFonts w:ascii="Times New Roman" w:hAnsi="Times New Roman" w:cs="Times New Roman"/>
          <w:b/>
          <w:sz w:val="14"/>
          <w:szCs w:val="14"/>
        </w:rPr>
        <w:t>●</w:t>
      </w:r>
      <w:r w:rsidRPr="005330C4">
        <w:rPr>
          <w:rFonts w:asciiTheme="majorHAnsi" w:hAnsiTheme="majorHAnsi"/>
          <w:sz w:val="20"/>
        </w:rPr>
        <w:t xml:space="preserve"> </w:t>
      </w:r>
      <w:r w:rsidR="000A284E" w:rsidRPr="005330C4">
        <w:rPr>
          <w:rFonts w:asciiTheme="majorHAnsi" w:hAnsiTheme="majorHAnsi"/>
          <w:sz w:val="20"/>
        </w:rPr>
        <w:t>Patient education, learning and involvement</w:t>
      </w:r>
    </w:p>
    <w:p w:rsidR="000A284E" w:rsidRPr="005330C4" w:rsidRDefault="005330C4" w:rsidP="005330C4">
      <w:pPr>
        <w:pStyle w:val="ListParagraph"/>
        <w:spacing w:after="0"/>
        <w:ind w:left="360" w:right="-288"/>
        <w:rPr>
          <w:rFonts w:asciiTheme="majorHAnsi" w:hAnsiTheme="majorHAnsi"/>
          <w:sz w:val="20"/>
        </w:rPr>
      </w:pPr>
      <w:r w:rsidRPr="001A0F23">
        <w:rPr>
          <w:rFonts w:ascii="Times New Roman" w:hAnsi="Times New Roman" w:cs="Times New Roman"/>
          <w:b/>
          <w:sz w:val="14"/>
          <w:szCs w:val="14"/>
        </w:rPr>
        <w:t>●</w:t>
      </w:r>
      <w:r w:rsidRPr="005330C4">
        <w:rPr>
          <w:rFonts w:asciiTheme="majorHAnsi" w:hAnsiTheme="majorHAnsi"/>
          <w:sz w:val="20"/>
        </w:rPr>
        <w:t xml:space="preserve"> </w:t>
      </w:r>
      <w:r w:rsidR="000A284E" w:rsidRPr="005330C4">
        <w:rPr>
          <w:rFonts w:asciiTheme="majorHAnsi" w:hAnsiTheme="majorHAnsi"/>
          <w:sz w:val="20"/>
        </w:rPr>
        <w:t>Consumer and clinician health information needs, seeking, sharing, and use</w:t>
      </w:r>
    </w:p>
    <w:p w:rsidR="000A284E" w:rsidRPr="005330C4" w:rsidRDefault="000A284E" w:rsidP="005330C4">
      <w:pPr>
        <w:pStyle w:val="ListParagraph"/>
        <w:numPr>
          <w:ilvl w:val="0"/>
          <w:numId w:val="2"/>
        </w:numPr>
        <w:spacing w:after="0"/>
        <w:ind w:left="-90" w:right="-288" w:hanging="270"/>
        <w:rPr>
          <w:rFonts w:asciiTheme="majorHAnsi" w:hAnsiTheme="majorHAnsi"/>
          <w:sz w:val="20"/>
        </w:rPr>
      </w:pPr>
      <w:r w:rsidRPr="005330C4">
        <w:rPr>
          <w:rFonts w:asciiTheme="majorHAnsi" w:hAnsiTheme="majorHAnsi"/>
          <w:sz w:val="20"/>
        </w:rPr>
        <w:t>Healthcare knowledge abstraction, classification and summarization</w:t>
      </w:r>
    </w:p>
    <w:p w:rsidR="000A284E" w:rsidRPr="005330C4" w:rsidRDefault="000A284E" w:rsidP="005330C4">
      <w:pPr>
        <w:pStyle w:val="ListParagraph"/>
        <w:numPr>
          <w:ilvl w:val="0"/>
          <w:numId w:val="2"/>
        </w:numPr>
        <w:spacing w:after="0"/>
        <w:ind w:left="-90" w:right="-288" w:hanging="270"/>
        <w:rPr>
          <w:rFonts w:asciiTheme="majorHAnsi" w:hAnsiTheme="majorHAnsi"/>
          <w:sz w:val="20"/>
        </w:rPr>
      </w:pPr>
      <w:r w:rsidRPr="005330C4">
        <w:rPr>
          <w:rFonts w:asciiTheme="majorHAnsi" w:hAnsiTheme="majorHAnsi"/>
          <w:sz w:val="20"/>
        </w:rPr>
        <w:t>Effective Information retrieval for healthcare applications</w:t>
      </w:r>
    </w:p>
    <w:p w:rsidR="000A284E" w:rsidRPr="005330C4" w:rsidRDefault="000A284E" w:rsidP="005330C4">
      <w:pPr>
        <w:pStyle w:val="ListParagraph"/>
        <w:numPr>
          <w:ilvl w:val="0"/>
          <w:numId w:val="2"/>
        </w:numPr>
        <w:spacing w:after="0"/>
        <w:ind w:left="-90" w:right="-288" w:hanging="270"/>
        <w:rPr>
          <w:rFonts w:asciiTheme="majorHAnsi" w:hAnsiTheme="majorHAnsi"/>
          <w:sz w:val="20"/>
        </w:rPr>
      </w:pPr>
      <w:r w:rsidRPr="005330C4">
        <w:rPr>
          <w:rFonts w:asciiTheme="majorHAnsi" w:hAnsiTheme="majorHAnsi"/>
          <w:sz w:val="20"/>
        </w:rPr>
        <w:t>Natural language processing and text mining for biomedical and clinical applications, EHR, clinical notes, and health consumer texts</w:t>
      </w:r>
    </w:p>
    <w:p w:rsidR="000A284E" w:rsidRPr="005330C4" w:rsidRDefault="000A284E" w:rsidP="005330C4">
      <w:pPr>
        <w:pStyle w:val="ListParagraph"/>
        <w:numPr>
          <w:ilvl w:val="0"/>
          <w:numId w:val="2"/>
        </w:numPr>
        <w:spacing w:after="0"/>
        <w:ind w:left="-90" w:right="-288" w:hanging="270"/>
        <w:rPr>
          <w:rFonts w:asciiTheme="majorHAnsi" w:hAnsiTheme="majorHAnsi"/>
          <w:sz w:val="20"/>
        </w:rPr>
      </w:pPr>
      <w:r w:rsidRPr="005330C4">
        <w:rPr>
          <w:rFonts w:asciiTheme="majorHAnsi" w:hAnsiTheme="majorHAnsi"/>
          <w:sz w:val="20"/>
        </w:rPr>
        <w:t>Intelligent systems and text mining for electronic health records</w:t>
      </w:r>
    </w:p>
    <w:p w:rsidR="000A284E" w:rsidRPr="005330C4" w:rsidRDefault="000A284E" w:rsidP="005330C4">
      <w:pPr>
        <w:pStyle w:val="ListParagraph"/>
        <w:numPr>
          <w:ilvl w:val="0"/>
          <w:numId w:val="2"/>
        </w:numPr>
        <w:spacing w:after="0"/>
        <w:ind w:left="-90" w:right="-288" w:hanging="270"/>
        <w:rPr>
          <w:rFonts w:asciiTheme="majorHAnsi" w:hAnsiTheme="majorHAnsi"/>
          <w:sz w:val="20"/>
        </w:rPr>
      </w:pPr>
      <w:r w:rsidRPr="005330C4">
        <w:rPr>
          <w:rFonts w:asciiTheme="majorHAnsi" w:hAnsiTheme="majorHAnsi"/>
          <w:sz w:val="20"/>
        </w:rPr>
        <w:t>Health and clinical data integrity, privacy and representativeness for secondary use of data</w:t>
      </w:r>
    </w:p>
    <w:p w:rsidR="000A284E" w:rsidRPr="005330C4" w:rsidRDefault="000A284E" w:rsidP="005330C4">
      <w:pPr>
        <w:pStyle w:val="ListParagraph"/>
        <w:numPr>
          <w:ilvl w:val="0"/>
          <w:numId w:val="2"/>
        </w:numPr>
        <w:spacing w:after="0"/>
        <w:ind w:left="-90" w:right="-288" w:hanging="270"/>
        <w:rPr>
          <w:rFonts w:asciiTheme="majorHAnsi" w:hAnsiTheme="majorHAnsi"/>
          <w:sz w:val="20"/>
        </w:rPr>
      </w:pPr>
      <w:r w:rsidRPr="005330C4">
        <w:rPr>
          <w:rFonts w:asciiTheme="majorHAnsi" w:hAnsiTheme="majorHAnsi"/>
          <w:sz w:val="20"/>
        </w:rPr>
        <w:t>E-communities, social networks, and social media for patients and caregivers</w:t>
      </w:r>
    </w:p>
    <w:p w:rsidR="000A284E" w:rsidRPr="005330C4" w:rsidRDefault="000A284E" w:rsidP="005330C4">
      <w:pPr>
        <w:spacing w:before="160" w:after="0"/>
        <w:ind w:left="-446" w:right="-288"/>
        <w:rPr>
          <w:rFonts w:asciiTheme="majorHAnsi" w:hAnsiTheme="majorHAnsi"/>
          <w:b/>
          <w:i/>
        </w:rPr>
      </w:pPr>
      <w:r w:rsidRPr="005330C4">
        <w:rPr>
          <w:rFonts w:asciiTheme="majorHAnsi" w:hAnsiTheme="majorHAnsi"/>
          <w:b/>
          <w:i/>
        </w:rPr>
        <w:t>Improving clinical practice and training</w:t>
      </w:r>
    </w:p>
    <w:p w:rsidR="000A284E" w:rsidRPr="005330C4" w:rsidRDefault="000A284E" w:rsidP="005330C4">
      <w:pPr>
        <w:pStyle w:val="ListParagraph"/>
        <w:numPr>
          <w:ilvl w:val="0"/>
          <w:numId w:val="2"/>
        </w:numPr>
        <w:spacing w:after="0"/>
        <w:ind w:left="-90" w:right="-288" w:hanging="270"/>
        <w:rPr>
          <w:rFonts w:asciiTheme="majorHAnsi" w:hAnsiTheme="majorHAnsi"/>
          <w:sz w:val="20"/>
        </w:rPr>
      </w:pPr>
      <w:r w:rsidRPr="005330C4">
        <w:rPr>
          <w:rFonts w:asciiTheme="majorHAnsi" w:hAnsiTheme="majorHAnsi"/>
          <w:sz w:val="20"/>
        </w:rPr>
        <w:t>Virtual patient modeling for learning, practicing and demonstrating care practices</w:t>
      </w:r>
    </w:p>
    <w:p w:rsidR="000A284E" w:rsidRPr="005330C4" w:rsidRDefault="000A284E" w:rsidP="005330C4">
      <w:pPr>
        <w:pStyle w:val="ListParagraph"/>
        <w:numPr>
          <w:ilvl w:val="0"/>
          <w:numId w:val="2"/>
        </w:numPr>
        <w:spacing w:after="0"/>
        <w:ind w:left="-90" w:right="-288" w:hanging="270"/>
        <w:rPr>
          <w:rFonts w:asciiTheme="majorHAnsi" w:hAnsiTheme="majorHAnsi"/>
          <w:sz w:val="20"/>
        </w:rPr>
      </w:pPr>
      <w:r w:rsidRPr="005330C4">
        <w:rPr>
          <w:rFonts w:asciiTheme="majorHAnsi" w:hAnsiTheme="majorHAnsi"/>
          <w:sz w:val="20"/>
        </w:rPr>
        <w:t>Medical recommender systems</w:t>
      </w:r>
    </w:p>
    <w:p w:rsidR="000A284E" w:rsidRPr="005330C4" w:rsidRDefault="000A284E" w:rsidP="005330C4">
      <w:pPr>
        <w:pStyle w:val="ListParagraph"/>
        <w:numPr>
          <w:ilvl w:val="0"/>
          <w:numId w:val="2"/>
        </w:numPr>
        <w:spacing w:after="0"/>
        <w:ind w:left="-90" w:right="-288" w:hanging="270"/>
        <w:rPr>
          <w:rFonts w:asciiTheme="majorHAnsi" w:hAnsiTheme="majorHAnsi"/>
          <w:sz w:val="20"/>
        </w:rPr>
      </w:pPr>
      <w:r w:rsidRPr="005330C4">
        <w:rPr>
          <w:rFonts w:asciiTheme="majorHAnsi" w:hAnsiTheme="majorHAnsi"/>
          <w:sz w:val="20"/>
        </w:rPr>
        <w:t>Text mining clinical text for innovative applications (patient monitoring, recommender systems for clinicians, adverse effects monitoring)</w:t>
      </w:r>
    </w:p>
    <w:p w:rsidR="000A284E" w:rsidRPr="005330C4" w:rsidRDefault="000A284E" w:rsidP="005330C4">
      <w:pPr>
        <w:pStyle w:val="ListParagraph"/>
        <w:numPr>
          <w:ilvl w:val="0"/>
          <w:numId w:val="2"/>
        </w:numPr>
        <w:spacing w:after="0"/>
        <w:ind w:left="-90" w:right="-288" w:hanging="270"/>
        <w:rPr>
          <w:rFonts w:asciiTheme="majorHAnsi" w:hAnsiTheme="majorHAnsi"/>
          <w:sz w:val="20"/>
        </w:rPr>
      </w:pPr>
      <w:r w:rsidRPr="005330C4">
        <w:rPr>
          <w:rFonts w:asciiTheme="majorHAnsi" w:hAnsiTheme="majorHAnsi"/>
          <w:sz w:val="20"/>
        </w:rPr>
        <w:t>Mental and physical health data integration</w:t>
      </w:r>
    </w:p>
    <w:p w:rsidR="000A284E" w:rsidRPr="005330C4" w:rsidRDefault="000A284E" w:rsidP="005330C4">
      <w:pPr>
        <w:pStyle w:val="ListParagraph"/>
        <w:numPr>
          <w:ilvl w:val="0"/>
          <w:numId w:val="2"/>
        </w:numPr>
        <w:spacing w:after="0"/>
        <w:ind w:left="-90" w:right="-288" w:hanging="270"/>
        <w:rPr>
          <w:rFonts w:asciiTheme="majorHAnsi" w:hAnsiTheme="majorHAnsi"/>
          <w:sz w:val="20"/>
        </w:rPr>
      </w:pPr>
      <w:r w:rsidRPr="005330C4">
        <w:rPr>
          <w:rFonts w:asciiTheme="majorHAnsi" w:hAnsiTheme="majorHAnsi"/>
          <w:sz w:val="20"/>
        </w:rPr>
        <w:t>Computer-aided diagnosis</w:t>
      </w:r>
    </w:p>
    <w:p w:rsidR="005330C4" w:rsidRPr="005330C4" w:rsidRDefault="005330C4" w:rsidP="005330C4">
      <w:pPr>
        <w:spacing w:after="0"/>
        <w:rPr>
          <w:rFonts w:asciiTheme="majorHAnsi" w:hAnsiTheme="majorHAnsi"/>
          <w:sz w:val="20"/>
        </w:rPr>
      </w:pPr>
    </w:p>
    <w:p w:rsidR="005330C4" w:rsidRPr="005330C4" w:rsidRDefault="005330C4" w:rsidP="005330C4">
      <w:pPr>
        <w:spacing w:after="0"/>
        <w:rPr>
          <w:rFonts w:asciiTheme="majorHAnsi" w:hAnsiTheme="majorHAnsi"/>
          <w:sz w:val="20"/>
        </w:rPr>
      </w:pPr>
    </w:p>
    <w:p w:rsidR="005330C4" w:rsidRPr="005330C4" w:rsidRDefault="005330C4" w:rsidP="005330C4">
      <w:pPr>
        <w:spacing w:after="0"/>
        <w:rPr>
          <w:rFonts w:asciiTheme="majorHAnsi" w:hAnsiTheme="majorHAnsi"/>
          <w:sz w:val="20"/>
        </w:rPr>
      </w:pP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Computational support for patient-centered and evidence-based care</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Disease profiling and personalized treatment</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Visual analytics for healthcare</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Transdisciplinary healthcare through IT</w:t>
      </w:r>
    </w:p>
    <w:p w:rsidR="000A284E" w:rsidRPr="005330C4" w:rsidRDefault="000A284E" w:rsidP="005330C4">
      <w:pPr>
        <w:spacing w:before="160" w:after="0"/>
        <w:ind w:left="-446" w:right="-378"/>
        <w:rPr>
          <w:rFonts w:asciiTheme="majorHAnsi" w:hAnsiTheme="majorHAnsi"/>
          <w:b/>
          <w:i/>
        </w:rPr>
      </w:pPr>
      <w:r w:rsidRPr="005330C4">
        <w:rPr>
          <w:rFonts w:asciiTheme="majorHAnsi" w:hAnsiTheme="majorHAnsi"/>
          <w:b/>
          <w:i/>
        </w:rPr>
        <w:t xml:space="preserve">Combining, augmenting, integrating and mining clinical and medical data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Data augmentation and combination for evidence-based clinical decision making Biomarker discovery and biomedical data mining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Semantic Web, linked data, ontologies for healthcare applications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Software infrastructure for biomedical applications (text mining platforms, semantic web, workflows, etc)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Intelligent Medical data management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Translational approaches to healthcare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Computational intelligence methodologies for healthcare </w:t>
      </w:r>
    </w:p>
    <w:p w:rsidR="000A284E" w:rsidRPr="005330C4" w:rsidRDefault="000A284E" w:rsidP="005330C4">
      <w:pPr>
        <w:spacing w:before="160" w:after="0"/>
        <w:ind w:left="-446" w:right="-378"/>
        <w:rPr>
          <w:rFonts w:asciiTheme="majorHAnsi" w:hAnsiTheme="majorHAnsi"/>
          <w:b/>
          <w:i/>
        </w:rPr>
      </w:pPr>
      <w:r w:rsidRPr="005330C4">
        <w:rPr>
          <w:rFonts w:asciiTheme="majorHAnsi" w:hAnsiTheme="majorHAnsi"/>
          <w:b/>
          <w:i/>
        </w:rPr>
        <w:t xml:space="preserve">Assistive, persuasive and intelligent devices and software for medical care and health monitoring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Assistive devices and tools for individuals with special needs </w:t>
      </w:r>
    </w:p>
    <w:p w:rsidR="000A284E" w:rsidRPr="005330C4" w:rsidRDefault="001A0F23" w:rsidP="005330C4">
      <w:pPr>
        <w:pStyle w:val="ListParagraph"/>
        <w:numPr>
          <w:ilvl w:val="0"/>
          <w:numId w:val="2"/>
        </w:numPr>
        <w:spacing w:after="0"/>
        <w:ind w:left="-90" w:right="-378" w:hanging="270"/>
        <w:rPr>
          <w:rFonts w:asciiTheme="majorHAnsi" w:hAnsiTheme="majorHAnsi"/>
          <w:sz w:val="20"/>
        </w:rPr>
      </w:pPr>
      <w:r>
        <w:rPr>
          <w:rFonts w:asciiTheme="majorHAnsi" w:hAnsiTheme="majorHAnsi"/>
          <w:noProof/>
          <w:sz w:val="20"/>
        </w:rPr>
        <mc:AlternateContent>
          <mc:Choice Requires="wps">
            <w:drawing>
              <wp:anchor distT="91440" distB="91440" distL="457200" distR="91440" simplePos="0" relativeHeight="251668223" behindDoc="0" locked="0" layoutInCell="0" allowOverlap="1" wp14:anchorId="5BC94AE8" wp14:editId="544B9C84">
                <wp:simplePos x="0" y="0"/>
                <wp:positionH relativeFrom="margin">
                  <wp:posOffset>3043555</wp:posOffset>
                </wp:positionH>
                <wp:positionV relativeFrom="margin">
                  <wp:posOffset>3258820</wp:posOffset>
                </wp:positionV>
                <wp:extent cx="2729865" cy="2938780"/>
                <wp:effectExtent l="0" t="0" r="0" b="0"/>
                <wp:wrapSquare wrapText="bothSides"/>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729865" cy="2938780"/>
                        </a:xfrm>
                        <a:prstGeom prst="roundRect">
                          <a:avLst/>
                        </a:prstGeom>
                        <a:solidFill>
                          <a:schemeClr val="bg2"/>
                        </a:solidFill>
                        <a:ln>
                          <a:noFill/>
                        </a:ln>
                        <a:effectLst/>
                      </wps:spPr>
                      <wps:txbx>
                        <w:txbxContent>
                          <w:p w:rsidR="00360640" w:rsidRPr="001A0F23" w:rsidRDefault="00360640" w:rsidP="001A0F23">
                            <w:pPr>
                              <w:spacing w:after="0" w:line="240" w:lineRule="auto"/>
                              <w:rPr>
                                <w:b/>
                                <w:i/>
                                <w:color w:val="403152" w:themeColor="accent4" w:themeShade="80"/>
                                <w:szCs w:val="18"/>
                              </w:rPr>
                            </w:pPr>
                            <w:r w:rsidRPr="001A0F23">
                              <w:rPr>
                                <w:b/>
                                <w:i/>
                                <w:color w:val="403152" w:themeColor="accent4" w:themeShade="80"/>
                                <w:szCs w:val="18"/>
                              </w:rPr>
                              <w:t xml:space="preserve">Important Dates </w:t>
                            </w:r>
                          </w:p>
                          <w:p w:rsidR="00360640" w:rsidRDefault="00360640" w:rsidP="001A0F23">
                            <w:pPr>
                              <w:numPr>
                                <w:ilvl w:val="0"/>
                                <w:numId w:val="5"/>
                              </w:numPr>
                              <w:spacing w:after="0" w:line="240" w:lineRule="auto"/>
                              <w:ind w:left="360"/>
                              <w:rPr>
                                <w:b/>
                                <w:color w:val="403152" w:themeColor="accent4" w:themeShade="80"/>
                                <w:sz w:val="18"/>
                                <w:szCs w:val="18"/>
                              </w:rPr>
                            </w:pPr>
                            <w:r w:rsidRPr="00360640">
                              <w:rPr>
                                <w:b/>
                                <w:color w:val="403152" w:themeColor="accent4" w:themeShade="80"/>
                                <w:sz w:val="18"/>
                                <w:szCs w:val="18"/>
                              </w:rPr>
                              <w:t xml:space="preserve">Submission Deadline: </w:t>
                            </w:r>
                          </w:p>
                          <w:p w:rsidR="00360640" w:rsidRPr="00360640" w:rsidRDefault="00360640" w:rsidP="001A0F23">
                            <w:pPr>
                              <w:spacing w:after="80" w:line="240" w:lineRule="auto"/>
                              <w:ind w:left="720" w:hanging="360"/>
                              <w:rPr>
                                <w:b/>
                                <w:color w:val="403152" w:themeColor="accent4" w:themeShade="80"/>
                                <w:sz w:val="18"/>
                                <w:szCs w:val="18"/>
                              </w:rPr>
                            </w:pPr>
                            <w:r w:rsidRPr="00360640">
                              <w:rPr>
                                <w:b/>
                                <w:color w:val="403152" w:themeColor="accent4" w:themeShade="80"/>
                                <w:sz w:val="18"/>
                                <w:szCs w:val="18"/>
                              </w:rPr>
                              <w:t xml:space="preserve">November 30, 2012 </w:t>
                            </w:r>
                          </w:p>
                          <w:p w:rsidR="001A0F23" w:rsidRDefault="00360640" w:rsidP="001A0F23">
                            <w:pPr>
                              <w:numPr>
                                <w:ilvl w:val="0"/>
                                <w:numId w:val="5"/>
                              </w:numPr>
                              <w:spacing w:after="0" w:line="240" w:lineRule="auto"/>
                              <w:ind w:left="360"/>
                              <w:rPr>
                                <w:b/>
                                <w:color w:val="403152" w:themeColor="accent4" w:themeShade="80"/>
                                <w:sz w:val="18"/>
                                <w:szCs w:val="18"/>
                              </w:rPr>
                            </w:pPr>
                            <w:r w:rsidRPr="00360640">
                              <w:rPr>
                                <w:b/>
                                <w:color w:val="403152" w:themeColor="accent4" w:themeShade="80"/>
                                <w:sz w:val="18"/>
                                <w:szCs w:val="18"/>
                              </w:rPr>
                              <w:t xml:space="preserve">Notification of </w:t>
                            </w:r>
                            <w:r w:rsidRPr="001A0F23">
                              <w:rPr>
                                <w:b/>
                                <w:color w:val="403152" w:themeColor="accent4" w:themeShade="80"/>
                                <w:sz w:val="18"/>
                                <w:szCs w:val="18"/>
                              </w:rPr>
                              <w:t xml:space="preserve">First Review: </w:t>
                            </w:r>
                          </w:p>
                          <w:p w:rsidR="00360640" w:rsidRPr="001A0F23" w:rsidRDefault="00360640" w:rsidP="001A0F23">
                            <w:pPr>
                              <w:spacing w:after="80" w:line="240" w:lineRule="auto"/>
                              <w:ind w:left="720" w:hanging="360"/>
                              <w:rPr>
                                <w:b/>
                                <w:color w:val="403152" w:themeColor="accent4" w:themeShade="80"/>
                                <w:sz w:val="18"/>
                                <w:szCs w:val="18"/>
                              </w:rPr>
                            </w:pPr>
                            <w:r w:rsidRPr="001A0F23">
                              <w:rPr>
                                <w:b/>
                                <w:color w:val="403152" w:themeColor="accent4" w:themeShade="80"/>
                                <w:sz w:val="18"/>
                                <w:szCs w:val="18"/>
                              </w:rPr>
                              <w:t xml:space="preserve">February 4, 2013 </w:t>
                            </w:r>
                          </w:p>
                          <w:p w:rsidR="00360640" w:rsidRDefault="00360640" w:rsidP="001A0F23">
                            <w:pPr>
                              <w:numPr>
                                <w:ilvl w:val="0"/>
                                <w:numId w:val="5"/>
                              </w:numPr>
                              <w:spacing w:after="0" w:line="240" w:lineRule="auto"/>
                              <w:ind w:left="360"/>
                              <w:rPr>
                                <w:b/>
                                <w:color w:val="403152" w:themeColor="accent4" w:themeShade="80"/>
                                <w:sz w:val="18"/>
                                <w:szCs w:val="18"/>
                              </w:rPr>
                            </w:pPr>
                            <w:r w:rsidRPr="00360640">
                              <w:rPr>
                                <w:b/>
                                <w:color w:val="403152" w:themeColor="accent4" w:themeShade="80"/>
                                <w:sz w:val="18"/>
                                <w:szCs w:val="18"/>
                              </w:rPr>
                              <w:t xml:space="preserve">Submission of Revised Manuscript: </w:t>
                            </w:r>
                          </w:p>
                          <w:p w:rsidR="00360640" w:rsidRPr="00360640" w:rsidRDefault="00360640" w:rsidP="001A0F23">
                            <w:pPr>
                              <w:spacing w:after="80" w:line="240" w:lineRule="auto"/>
                              <w:ind w:left="720" w:hanging="360"/>
                              <w:rPr>
                                <w:b/>
                                <w:color w:val="403152" w:themeColor="accent4" w:themeShade="80"/>
                                <w:sz w:val="18"/>
                                <w:szCs w:val="18"/>
                              </w:rPr>
                            </w:pPr>
                            <w:r w:rsidRPr="00360640">
                              <w:rPr>
                                <w:b/>
                                <w:color w:val="403152" w:themeColor="accent4" w:themeShade="80"/>
                                <w:sz w:val="18"/>
                                <w:szCs w:val="18"/>
                              </w:rPr>
                              <w:t xml:space="preserve">March 4, 2013 </w:t>
                            </w:r>
                          </w:p>
                          <w:p w:rsidR="00360640" w:rsidRDefault="00360640" w:rsidP="001A0F23">
                            <w:pPr>
                              <w:numPr>
                                <w:ilvl w:val="0"/>
                                <w:numId w:val="5"/>
                              </w:numPr>
                              <w:spacing w:after="0" w:line="240" w:lineRule="auto"/>
                              <w:ind w:left="360"/>
                              <w:rPr>
                                <w:b/>
                                <w:color w:val="403152" w:themeColor="accent4" w:themeShade="80"/>
                                <w:sz w:val="18"/>
                                <w:szCs w:val="18"/>
                              </w:rPr>
                            </w:pPr>
                            <w:r w:rsidRPr="00360640">
                              <w:rPr>
                                <w:b/>
                                <w:color w:val="403152" w:themeColor="accent4" w:themeShade="80"/>
                                <w:sz w:val="18"/>
                                <w:szCs w:val="18"/>
                              </w:rPr>
                              <w:t xml:space="preserve">Notification of Second Review: </w:t>
                            </w:r>
                          </w:p>
                          <w:p w:rsidR="00360640" w:rsidRPr="00360640" w:rsidRDefault="00360640" w:rsidP="001A0F23">
                            <w:pPr>
                              <w:spacing w:after="80" w:line="240" w:lineRule="auto"/>
                              <w:ind w:left="720" w:hanging="360"/>
                              <w:rPr>
                                <w:b/>
                                <w:color w:val="403152" w:themeColor="accent4" w:themeShade="80"/>
                                <w:sz w:val="18"/>
                                <w:szCs w:val="18"/>
                              </w:rPr>
                            </w:pPr>
                            <w:r w:rsidRPr="00360640">
                              <w:rPr>
                                <w:b/>
                                <w:color w:val="403152" w:themeColor="accent4" w:themeShade="80"/>
                                <w:sz w:val="18"/>
                                <w:szCs w:val="18"/>
                              </w:rPr>
                              <w:t xml:space="preserve">March 25, 2013 </w:t>
                            </w:r>
                          </w:p>
                          <w:p w:rsidR="00360640" w:rsidRDefault="00360640" w:rsidP="001A0F23">
                            <w:pPr>
                              <w:numPr>
                                <w:ilvl w:val="0"/>
                                <w:numId w:val="5"/>
                              </w:numPr>
                              <w:spacing w:after="0" w:line="240" w:lineRule="auto"/>
                              <w:ind w:left="360"/>
                              <w:rPr>
                                <w:b/>
                                <w:color w:val="403152" w:themeColor="accent4" w:themeShade="80"/>
                                <w:sz w:val="18"/>
                                <w:szCs w:val="18"/>
                              </w:rPr>
                            </w:pPr>
                            <w:r w:rsidRPr="00360640">
                              <w:rPr>
                                <w:b/>
                                <w:color w:val="403152" w:themeColor="accent4" w:themeShade="80"/>
                                <w:sz w:val="18"/>
                                <w:szCs w:val="18"/>
                              </w:rPr>
                              <w:t xml:space="preserve">Submission of Second Revised Manuscript: </w:t>
                            </w:r>
                          </w:p>
                          <w:p w:rsidR="00360640" w:rsidRPr="00360640" w:rsidRDefault="00360640" w:rsidP="001A0F23">
                            <w:pPr>
                              <w:spacing w:after="80" w:line="240" w:lineRule="auto"/>
                              <w:ind w:left="720" w:hanging="360"/>
                              <w:rPr>
                                <w:b/>
                                <w:color w:val="403152" w:themeColor="accent4" w:themeShade="80"/>
                                <w:sz w:val="18"/>
                                <w:szCs w:val="18"/>
                              </w:rPr>
                            </w:pPr>
                            <w:r w:rsidRPr="00360640">
                              <w:rPr>
                                <w:b/>
                                <w:color w:val="403152" w:themeColor="accent4" w:themeShade="80"/>
                                <w:sz w:val="18"/>
                                <w:szCs w:val="18"/>
                              </w:rPr>
                              <w:t xml:space="preserve">April 8, 2013 </w:t>
                            </w:r>
                          </w:p>
                          <w:p w:rsidR="00360640" w:rsidRDefault="00360640" w:rsidP="001A0F23">
                            <w:pPr>
                              <w:numPr>
                                <w:ilvl w:val="0"/>
                                <w:numId w:val="5"/>
                              </w:numPr>
                              <w:spacing w:after="0" w:line="240" w:lineRule="auto"/>
                              <w:ind w:left="360"/>
                              <w:rPr>
                                <w:b/>
                                <w:color w:val="403152" w:themeColor="accent4" w:themeShade="80"/>
                                <w:sz w:val="18"/>
                                <w:szCs w:val="18"/>
                              </w:rPr>
                            </w:pPr>
                            <w:r w:rsidRPr="00360640">
                              <w:rPr>
                                <w:b/>
                                <w:color w:val="403152" w:themeColor="accent4" w:themeShade="80"/>
                                <w:sz w:val="18"/>
                                <w:szCs w:val="18"/>
                              </w:rPr>
                              <w:t>Final Acceptance notification:</w:t>
                            </w:r>
                          </w:p>
                          <w:p w:rsidR="00360640" w:rsidRPr="00360640" w:rsidRDefault="00360640" w:rsidP="001A0F23">
                            <w:pPr>
                              <w:spacing w:after="80" w:line="240" w:lineRule="auto"/>
                              <w:ind w:firstLine="360"/>
                              <w:rPr>
                                <w:b/>
                                <w:color w:val="403152" w:themeColor="accent4" w:themeShade="80"/>
                                <w:sz w:val="18"/>
                                <w:szCs w:val="18"/>
                              </w:rPr>
                            </w:pPr>
                            <w:r w:rsidRPr="00360640">
                              <w:rPr>
                                <w:b/>
                                <w:color w:val="403152" w:themeColor="accent4" w:themeShade="80"/>
                                <w:sz w:val="18"/>
                                <w:szCs w:val="18"/>
                              </w:rPr>
                              <w:t xml:space="preserve">April 15, 2013 </w:t>
                            </w:r>
                          </w:p>
                          <w:p w:rsidR="00360640" w:rsidRDefault="00360640" w:rsidP="001A0F23">
                            <w:pPr>
                              <w:numPr>
                                <w:ilvl w:val="0"/>
                                <w:numId w:val="5"/>
                              </w:numPr>
                              <w:spacing w:after="0" w:line="240" w:lineRule="auto"/>
                              <w:ind w:left="360"/>
                              <w:rPr>
                                <w:b/>
                                <w:color w:val="403152" w:themeColor="accent4" w:themeShade="80"/>
                                <w:sz w:val="18"/>
                                <w:szCs w:val="18"/>
                              </w:rPr>
                            </w:pPr>
                            <w:r w:rsidRPr="00360640">
                              <w:rPr>
                                <w:b/>
                                <w:color w:val="403152" w:themeColor="accent4" w:themeShade="80"/>
                                <w:sz w:val="18"/>
                                <w:szCs w:val="18"/>
                              </w:rPr>
                              <w:t xml:space="preserve">Final Manuscript Due: </w:t>
                            </w:r>
                          </w:p>
                          <w:p w:rsidR="00360640" w:rsidRPr="00360640" w:rsidRDefault="00360640" w:rsidP="001A0F23">
                            <w:pPr>
                              <w:spacing w:line="240" w:lineRule="auto"/>
                              <w:ind w:firstLine="360"/>
                              <w:rPr>
                                <w:b/>
                                <w:color w:val="403152" w:themeColor="accent4" w:themeShade="80"/>
                                <w:sz w:val="18"/>
                                <w:szCs w:val="18"/>
                              </w:rPr>
                            </w:pPr>
                            <w:r w:rsidRPr="00360640">
                              <w:rPr>
                                <w:b/>
                                <w:color w:val="403152" w:themeColor="accent4" w:themeShade="80"/>
                                <w:sz w:val="18"/>
                                <w:szCs w:val="18"/>
                              </w:rPr>
                              <w:t xml:space="preserve">April 29, 2013 </w:t>
                            </w: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26" style="position:absolute;left:0;text-align:left;margin-left:239.65pt;margin-top:256.6pt;width:214.95pt;height:231.4pt;flip:y;z-index:251668223;visibility:visible;mso-wrap-style:square;mso-width-percent:0;mso-height-percent:0;mso-wrap-distance-left:36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" o:allowincell="f" fillcolor="#eeece1 [3214]" stroked="f">
                <v:textbox inset=",7.2pt,,7.2pt">
                  <w:txbxContent>
                    <w:p w:rsidR="00360640" w:rsidRPr="001A0F23" w:rsidRDefault="00360640" w:rsidP="001A0F23">
                      <w:pPr>
                        <w:spacing w:after="0" w:line="240" w:lineRule="auto"/>
                        <w:rPr>
                          <w:b/>
                          <w:i/>
                          <w:color w:val="403152" w:themeColor="accent4" w:themeShade="80"/>
                          <w:szCs w:val="18"/>
                        </w:rPr>
                      </w:pPr>
                      <w:r w:rsidRPr="001A0F23">
                        <w:rPr>
                          <w:b/>
                          <w:i/>
                          <w:color w:val="403152" w:themeColor="accent4" w:themeShade="80"/>
                          <w:szCs w:val="18"/>
                        </w:rPr>
                        <w:t xml:space="preserve">Important Dates </w:t>
                      </w:r>
                    </w:p>
                    <w:p w:rsidR="00360640" w:rsidRDefault="00360640" w:rsidP="001A0F23">
                      <w:pPr>
                        <w:numPr>
                          <w:ilvl w:val="0"/>
                          <w:numId w:val="5"/>
                        </w:numPr>
                        <w:spacing w:after="0" w:line="240" w:lineRule="auto"/>
                        <w:ind w:left="360"/>
                        <w:rPr>
                          <w:b/>
                          <w:color w:val="403152" w:themeColor="accent4" w:themeShade="80"/>
                          <w:sz w:val="18"/>
                          <w:szCs w:val="18"/>
                        </w:rPr>
                      </w:pPr>
                      <w:r w:rsidRPr="00360640">
                        <w:rPr>
                          <w:b/>
                          <w:color w:val="403152" w:themeColor="accent4" w:themeShade="80"/>
                          <w:sz w:val="18"/>
                          <w:szCs w:val="18"/>
                        </w:rPr>
                        <w:t xml:space="preserve">Submission Deadline: </w:t>
                      </w:r>
                    </w:p>
                    <w:p w:rsidR="00360640" w:rsidRPr="00360640" w:rsidRDefault="00360640" w:rsidP="001A0F23">
                      <w:pPr>
                        <w:spacing w:after="80" w:line="240" w:lineRule="auto"/>
                        <w:ind w:left="720" w:hanging="360"/>
                        <w:rPr>
                          <w:b/>
                          <w:color w:val="403152" w:themeColor="accent4" w:themeShade="80"/>
                          <w:sz w:val="18"/>
                          <w:szCs w:val="18"/>
                        </w:rPr>
                      </w:pPr>
                      <w:r w:rsidRPr="00360640">
                        <w:rPr>
                          <w:b/>
                          <w:color w:val="403152" w:themeColor="accent4" w:themeShade="80"/>
                          <w:sz w:val="18"/>
                          <w:szCs w:val="18"/>
                        </w:rPr>
                        <w:t xml:space="preserve">November 30, 2012 </w:t>
                      </w:r>
                    </w:p>
                    <w:p w:rsidR="001A0F23" w:rsidRDefault="00360640" w:rsidP="001A0F23">
                      <w:pPr>
                        <w:numPr>
                          <w:ilvl w:val="0"/>
                          <w:numId w:val="5"/>
                        </w:numPr>
                        <w:spacing w:after="0" w:line="240" w:lineRule="auto"/>
                        <w:ind w:left="360"/>
                        <w:rPr>
                          <w:b/>
                          <w:color w:val="403152" w:themeColor="accent4" w:themeShade="80"/>
                          <w:sz w:val="18"/>
                          <w:szCs w:val="18"/>
                        </w:rPr>
                      </w:pPr>
                      <w:r w:rsidRPr="00360640">
                        <w:rPr>
                          <w:b/>
                          <w:color w:val="403152" w:themeColor="accent4" w:themeShade="80"/>
                          <w:sz w:val="18"/>
                          <w:szCs w:val="18"/>
                        </w:rPr>
                        <w:t xml:space="preserve">Notification of </w:t>
                      </w:r>
                      <w:r w:rsidRPr="001A0F23">
                        <w:rPr>
                          <w:b/>
                          <w:color w:val="403152" w:themeColor="accent4" w:themeShade="80"/>
                          <w:sz w:val="18"/>
                          <w:szCs w:val="18"/>
                        </w:rPr>
                        <w:t xml:space="preserve">First Review: </w:t>
                      </w:r>
                    </w:p>
                    <w:p w:rsidR="00360640" w:rsidRPr="001A0F23" w:rsidRDefault="00360640" w:rsidP="001A0F23">
                      <w:pPr>
                        <w:spacing w:after="80" w:line="240" w:lineRule="auto"/>
                        <w:ind w:left="720" w:hanging="360"/>
                        <w:rPr>
                          <w:b/>
                          <w:color w:val="403152" w:themeColor="accent4" w:themeShade="80"/>
                          <w:sz w:val="18"/>
                          <w:szCs w:val="18"/>
                        </w:rPr>
                      </w:pPr>
                      <w:r w:rsidRPr="001A0F23">
                        <w:rPr>
                          <w:b/>
                          <w:color w:val="403152" w:themeColor="accent4" w:themeShade="80"/>
                          <w:sz w:val="18"/>
                          <w:szCs w:val="18"/>
                        </w:rPr>
                        <w:t xml:space="preserve">February 4, 2013 </w:t>
                      </w:r>
                    </w:p>
                    <w:p w:rsidR="00360640" w:rsidRDefault="00360640" w:rsidP="001A0F23">
                      <w:pPr>
                        <w:numPr>
                          <w:ilvl w:val="0"/>
                          <w:numId w:val="5"/>
                        </w:numPr>
                        <w:spacing w:after="0" w:line="240" w:lineRule="auto"/>
                        <w:ind w:left="360"/>
                        <w:rPr>
                          <w:b/>
                          <w:color w:val="403152" w:themeColor="accent4" w:themeShade="80"/>
                          <w:sz w:val="18"/>
                          <w:szCs w:val="18"/>
                        </w:rPr>
                      </w:pPr>
                      <w:r w:rsidRPr="00360640">
                        <w:rPr>
                          <w:b/>
                          <w:color w:val="403152" w:themeColor="accent4" w:themeShade="80"/>
                          <w:sz w:val="18"/>
                          <w:szCs w:val="18"/>
                        </w:rPr>
                        <w:t xml:space="preserve">Submission of Revised Manuscript: </w:t>
                      </w:r>
                    </w:p>
                    <w:p w:rsidR="00360640" w:rsidRPr="00360640" w:rsidRDefault="00360640" w:rsidP="001A0F23">
                      <w:pPr>
                        <w:spacing w:after="80" w:line="240" w:lineRule="auto"/>
                        <w:ind w:left="720" w:hanging="360"/>
                        <w:rPr>
                          <w:b/>
                          <w:color w:val="403152" w:themeColor="accent4" w:themeShade="80"/>
                          <w:sz w:val="18"/>
                          <w:szCs w:val="18"/>
                        </w:rPr>
                      </w:pPr>
                      <w:r w:rsidRPr="00360640">
                        <w:rPr>
                          <w:b/>
                          <w:color w:val="403152" w:themeColor="accent4" w:themeShade="80"/>
                          <w:sz w:val="18"/>
                          <w:szCs w:val="18"/>
                        </w:rPr>
                        <w:t xml:space="preserve">March 4, 2013 </w:t>
                      </w:r>
                    </w:p>
                    <w:p w:rsidR="00360640" w:rsidRDefault="00360640" w:rsidP="001A0F23">
                      <w:pPr>
                        <w:numPr>
                          <w:ilvl w:val="0"/>
                          <w:numId w:val="5"/>
                        </w:numPr>
                        <w:spacing w:after="0" w:line="240" w:lineRule="auto"/>
                        <w:ind w:left="360"/>
                        <w:rPr>
                          <w:b/>
                          <w:color w:val="403152" w:themeColor="accent4" w:themeShade="80"/>
                          <w:sz w:val="18"/>
                          <w:szCs w:val="18"/>
                        </w:rPr>
                      </w:pPr>
                      <w:r w:rsidRPr="00360640">
                        <w:rPr>
                          <w:b/>
                          <w:color w:val="403152" w:themeColor="accent4" w:themeShade="80"/>
                          <w:sz w:val="18"/>
                          <w:szCs w:val="18"/>
                        </w:rPr>
                        <w:t xml:space="preserve">Notification of Second Review: </w:t>
                      </w:r>
                    </w:p>
                    <w:p w:rsidR="00360640" w:rsidRPr="00360640" w:rsidRDefault="00360640" w:rsidP="001A0F23">
                      <w:pPr>
                        <w:spacing w:after="80" w:line="240" w:lineRule="auto"/>
                        <w:ind w:left="720" w:hanging="360"/>
                        <w:rPr>
                          <w:b/>
                          <w:color w:val="403152" w:themeColor="accent4" w:themeShade="80"/>
                          <w:sz w:val="18"/>
                          <w:szCs w:val="18"/>
                        </w:rPr>
                      </w:pPr>
                      <w:r w:rsidRPr="00360640">
                        <w:rPr>
                          <w:b/>
                          <w:color w:val="403152" w:themeColor="accent4" w:themeShade="80"/>
                          <w:sz w:val="18"/>
                          <w:szCs w:val="18"/>
                        </w:rPr>
                        <w:t xml:space="preserve">March 25, 2013 </w:t>
                      </w:r>
                    </w:p>
                    <w:p w:rsidR="00360640" w:rsidRDefault="00360640" w:rsidP="001A0F23">
                      <w:pPr>
                        <w:numPr>
                          <w:ilvl w:val="0"/>
                          <w:numId w:val="5"/>
                        </w:numPr>
                        <w:spacing w:after="0" w:line="240" w:lineRule="auto"/>
                        <w:ind w:left="360"/>
                        <w:rPr>
                          <w:b/>
                          <w:color w:val="403152" w:themeColor="accent4" w:themeShade="80"/>
                          <w:sz w:val="18"/>
                          <w:szCs w:val="18"/>
                        </w:rPr>
                      </w:pPr>
                      <w:r w:rsidRPr="00360640">
                        <w:rPr>
                          <w:b/>
                          <w:color w:val="403152" w:themeColor="accent4" w:themeShade="80"/>
                          <w:sz w:val="18"/>
                          <w:szCs w:val="18"/>
                        </w:rPr>
                        <w:t xml:space="preserve">Submission of Second Revised Manuscript: </w:t>
                      </w:r>
                    </w:p>
                    <w:p w:rsidR="00360640" w:rsidRPr="00360640" w:rsidRDefault="00360640" w:rsidP="001A0F23">
                      <w:pPr>
                        <w:spacing w:after="80" w:line="240" w:lineRule="auto"/>
                        <w:ind w:left="720" w:hanging="360"/>
                        <w:rPr>
                          <w:b/>
                          <w:color w:val="403152" w:themeColor="accent4" w:themeShade="80"/>
                          <w:sz w:val="18"/>
                          <w:szCs w:val="18"/>
                        </w:rPr>
                      </w:pPr>
                      <w:r w:rsidRPr="00360640">
                        <w:rPr>
                          <w:b/>
                          <w:color w:val="403152" w:themeColor="accent4" w:themeShade="80"/>
                          <w:sz w:val="18"/>
                          <w:szCs w:val="18"/>
                        </w:rPr>
                        <w:t xml:space="preserve">April 8, 2013 </w:t>
                      </w:r>
                    </w:p>
                    <w:p w:rsidR="00360640" w:rsidRDefault="00360640" w:rsidP="001A0F23">
                      <w:pPr>
                        <w:numPr>
                          <w:ilvl w:val="0"/>
                          <w:numId w:val="5"/>
                        </w:numPr>
                        <w:spacing w:after="0" w:line="240" w:lineRule="auto"/>
                        <w:ind w:left="360"/>
                        <w:rPr>
                          <w:b/>
                          <w:color w:val="403152" w:themeColor="accent4" w:themeShade="80"/>
                          <w:sz w:val="18"/>
                          <w:szCs w:val="18"/>
                        </w:rPr>
                      </w:pPr>
                      <w:r w:rsidRPr="00360640">
                        <w:rPr>
                          <w:b/>
                          <w:color w:val="403152" w:themeColor="accent4" w:themeShade="80"/>
                          <w:sz w:val="18"/>
                          <w:szCs w:val="18"/>
                        </w:rPr>
                        <w:t>Final Acceptance notification:</w:t>
                      </w:r>
                    </w:p>
                    <w:p w:rsidR="00360640" w:rsidRPr="00360640" w:rsidRDefault="00360640" w:rsidP="001A0F23">
                      <w:pPr>
                        <w:spacing w:after="80" w:line="240" w:lineRule="auto"/>
                        <w:ind w:firstLine="360"/>
                        <w:rPr>
                          <w:b/>
                          <w:color w:val="403152" w:themeColor="accent4" w:themeShade="80"/>
                          <w:sz w:val="18"/>
                          <w:szCs w:val="18"/>
                        </w:rPr>
                      </w:pPr>
                      <w:r w:rsidRPr="00360640">
                        <w:rPr>
                          <w:b/>
                          <w:color w:val="403152" w:themeColor="accent4" w:themeShade="80"/>
                          <w:sz w:val="18"/>
                          <w:szCs w:val="18"/>
                        </w:rPr>
                        <w:t xml:space="preserve">April 15, 2013 </w:t>
                      </w:r>
                    </w:p>
                    <w:p w:rsidR="00360640" w:rsidRDefault="00360640" w:rsidP="001A0F23">
                      <w:pPr>
                        <w:numPr>
                          <w:ilvl w:val="0"/>
                          <w:numId w:val="5"/>
                        </w:numPr>
                        <w:spacing w:after="0" w:line="240" w:lineRule="auto"/>
                        <w:ind w:left="360"/>
                        <w:rPr>
                          <w:b/>
                          <w:color w:val="403152" w:themeColor="accent4" w:themeShade="80"/>
                          <w:sz w:val="18"/>
                          <w:szCs w:val="18"/>
                        </w:rPr>
                      </w:pPr>
                      <w:r w:rsidRPr="00360640">
                        <w:rPr>
                          <w:b/>
                          <w:color w:val="403152" w:themeColor="accent4" w:themeShade="80"/>
                          <w:sz w:val="18"/>
                          <w:szCs w:val="18"/>
                        </w:rPr>
                        <w:t xml:space="preserve">Final Manuscript Due: </w:t>
                      </w:r>
                    </w:p>
                    <w:p w:rsidR="00360640" w:rsidRPr="00360640" w:rsidRDefault="00360640" w:rsidP="001A0F23">
                      <w:pPr>
                        <w:spacing w:line="240" w:lineRule="auto"/>
                        <w:ind w:firstLine="360"/>
                        <w:rPr>
                          <w:b/>
                          <w:color w:val="403152" w:themeColor="accent4" w:themeShade="80"/>
                          <w:sz w:val="18"/>
                          <w:szCs w:val="18"/>
                        </w:rPr>
                      </w:pPr>
                      <w:r w:rsidRPr="00360640">
                        <w:rPr>
                          <w:b/>
                          <w:color w:val="403152" w:themeColor="accent4" w:themeShade="80"/>
                          <w:sz w:val="18"/>
                          <w:szCs w:val="18"/>
                        </w:rPr>
                        <w:t xml:space="preserve">April 29, 2013 </w:t>
                      </w:r>
                    </w:p>
                  </w:txbxContent>
                </v:textbox>
                <w10:wrap type="square" anchorx="margin" anchory="margin"/>
              </v:roundrect>
            </w:pict>
          </mc:Fallback>
        </mc:AlternateContent>
      </w:r>
      <w:r w:rsidR="000A284E" w:rsidRPr="005330C4">
        <w:rPr>
          <w:rFonts w:asciiTheme="majorHAnsi" w:hAnsiTheme="majorHAnsi"/>
          <w:sz w:val="20"/>
        </w:rPr>
        <w:t xml:space="preserve">Intelligent medical devices and sensors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Continuous monitoring and streaming technologies for healthcare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Computer support for surgical intervention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Localized data for improving emergency care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Localization, persuasion and mobile approaches to increasing healthy life styles and better self-care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Virtual and augmented reality for healthcare </w:t>
      </w:r>
    </w:p>
    <w:p w:rsidR="000A284E" w:rsidRPr="005330C4" w:rsidRDefault="000A284E" w:rsidP="005330C4">
      <w:pPr>
        <w:spacing w:before="160" w:after="0"/>
        <w:ind w:left="-446" w:right="-378"/>
        <w:rPr>
          <w:rFonts w:asciiTheme="majorHAnsi" w:hAnsiTheme="majorHAnsi"/>
          <w:b/>
          <w:i/>
        </w:rPr>
      </w:pPr>
      <w:r w:rsidRPr="005330C4">
        <w:rPr>
          <w:rFonts w:asciiTheme="majorHAnsi" w:hAnsiTheme="majorHAnsi"/>
          <w:b/>
          <w:i/>
        </w:rPr>
        <w:t xml:space="preserve">Global systems for population monitoring and large-scale data analysis and management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Global spread of disease: models, tools and interventions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Data analytics for clinical care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Systems for Telemedicine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Pharmacy informatics systems and drug discovery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Collaboration technologies for healthcare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Healthcare workflow management </w:t>
      </w:r>
    </w:p>
    <w:p w:rsidR="000A284E" w:rsidRPr="005330C4" w:rsidRDefault="000A284E" w:rsidP="005330C4">
      <w:pPr>
        <w:pStyle w:val="ListParagraph"/>
        <w:numPr>
          <w:ilvl w:val="0"/>
          <w:numId w:val="2"/>
        </w:numPr>
        <w:spacing w:after="0"/>
        <w:ind w:left="-90" w:right="-378" w:hanging="270"/>
        <w:rPr>
          <w:rFonts w:asciiTheme="majorHAnsi" w:hAnsiTheme="majorHAnsi"/>
          <w:sz w:val="20"/>
        </w:rPr>
      </w:pPr>
      <w:r w:rsidRPr="005330C4">
        <w:rPr>
          <w:rFonts w:asciiTheme="majorHAnsi" w:hAnsiTheme="majorHAnsi"/>
          <w:sz w:val="20"/>
        </w:rPr>
        <w:t xml:space="preserve">Meta-studies of community, national and international programs </w:t>
      </w:r>
    </w:p>
    <w:p w:rsidR="000A284E" w:rsidRDefault="000A284E" w:rsidP="005330C4">
      <w:pPr>
        <w:spacing w:after="0"/>
        <w:ind w:right="-378"/>
        <w:rPr>
          <w:rFonts w:asciiTheme="majorHAnsi" w:hAnsiTheme="majorHAnsi"/>
          <w:b/>
          <w:bCs/>
        </w:rPr>
      </w:pPr>
      <w:bookmarkStart w:id="0" w:name="_GoBack"/>
      <w:bookmarkEnd w:id="0"/>
    </w:p>
    <w:p w:rsidR="005330C4" w:rsidRPr="00360640" w:rsidRDefault="005330C4" w:rsidP="00360640">
      <w:pPr>
        <w:spacing w:after="0"/>
        <w:ind w:left="-450" w:right="-198"/>
        <w:jc w:val="both"/>
        <w:rPr>
          <w:rFonts w:asciiTheme="majorHAnsi" w:hAnsiTheme="majorHAnsi"/>
          <w:b/>
          <w:bCs/>
          <w:sz w:val="24"/>
        </w:rPr>
      </w:pPr>
      <w:r w:rsidRPr="00360640">
        <w:rPr>
          <w:rFonts w:asciiTheme="majorHAnsi" w:hAnsiTheme="majorHAnsi"/>
          <w:b/>
          <w:bCs/>
          <w:sz w:val="24"/>
        </w:rPr>
        <w:t xml:space="preserve">On-Line Submission:  </w:t>
      </w:r>
    </w:p>
    <w:p w:rsidR="005330C4" w:rsidRPr="005330C4" w:rsidRDefault="005330C4" w:rsidP="00360640">
      <w:pPr>
        <w:spacing w:after="0"/>
        <w:ind w:left="-450" w:right="-198"/>
        <w:jc w:val="both"/>
        <w:rPr>
          <w:rFonts w:asciiTheme="majorHAnsi" w:hAnsiTheme="majorHAnsi"/>
          <w:bCs/>
        </w:rPr>
      </w:pPr>
      <w:hyperlink r:id="rId9" w:history="1">
        <w:r w:rsidRPr="0016383B">
          <w:rPr>
            <w:rStyle w:val="Hyperlink"/>
            <w:rFonts w:asciiTheme="majorHAnsi" w:hAnsiTheme="majorHAnsi"/>
            <w:b/>
            <w:bCs/>
            <w:color w:val="365F91" w:themeColor="accent1" w:themeShade="BF"/>
            <w:u w:val="none"/>
          </w:rPr>
          <w:t>http://mc.manuscriptcentral.com/tmis</w:t>
        </w:r>
      </w:hyperlink>
      <w:r w:rsidRPr="005330C4">
        <w:rPr>
          <w:rFonts w:asciiTheme="majorHAnsi" w:hAnsiTheme="majorHAnsi"/>
          <w:b/>
          <w:bCs/>
        </w:rPr>
        <w:t xml:space="preserve"> </w:t>
      </w:r>
      <w:r w:rsidRPr="005330C4">
        <w:rPr>
          <w:rFonts w:asciiTheme="majorHAnsi" w:hAnsiTheme="majorHAnsi"/>
          <w:bCs/>
        </w:rPr>
        <w:t xml:space="preserve"> Select Special Issue.  In your cover letter, note that your paper is intended for the </w:t>
      </w:r>
      <w:r w:rsidRPr="0016383B">
        <w:rPr>
          <w:rFonts w:asciiTheme="majorHAnsi" w:hAnsiTheme="majorHAnsi"/>
          <w:b/>
          <w:bCs/>
        </w:rPr>
        <w:t>Special Issues on Smart Health and Wellbeing</w:t>
      </w:r>
      <w:r w:rsidRPr="005330C4">
        <w:rPr>
          <w:rFonts w:asciiTheme="majorHAnsi" w:hAnsiTheme="majorHAnsi"/>
          <w:bCs/>
        </w:rPr>
        <w:t xml:space="preserve">.  Details of the journal and manuscript preparation are available on the website: </w:t>
      </w:r>
      <w:hyperlink r:id="rId10" w:history="1">
        <w:r w:rsidR="0016383B" w:rsidRPr="0016383B">
          <w:rPr>
            <w:rStyle w:val="Hyperlink"/>
            <w:rFonts w:asciiTheme="majorHAnsi" w:hAnsiTheme="majorHAnsi"/>
            <w:b/>
            <w:bCs/>
            <w:color w:val="365F91" w:themeColor="accent1" w:themeShade="BF"/>
            <w:u w:val="none"/>
          </w:rPr>
          <w:t>http://tmis.acm.org/</w:t>
        </w:r>
      </w:hyperlink>
    </w:p>
    <w:p w:rsidR="005330C4" w:rsidRPr="00360640" w:rsidRDefault="005330C4" w:rsidP="00360640">
      <w:pPr>
        <w:spacing w:before="180" w:after="0"/>
        <w:ind w:left="-446" w:right="-198"/>
        <w:rPr>
          <w:rFonts w:asciiTheme="majorHAnsi" w:hAnsiTheme="majorHAnsi"/>
          <w:b/>
          <w:bCs/>
          <w:sz w:val="24"/>
        </w:rPr>
      </w:pPr>
      <w:r w:rsidRPr="00360640">
        <w:rPr>
          <w:rFonts w:asciiTheme="majorHAnsi" w:hAnsiTheme="majorHAnsi"/>
          <w:b/>
          <w:bCs/>
          <w:sz w:val="24"/>
        </w:rPr>
        <w:t xml:space="preserve">Guest Editors </w:t>
      </w:r>
    </w:p>
    <w:p w:rsidR="005330C4" w:rsidRPr="00360640" w:rsidRDefault="005330C4" w:rsidP="00360640">
      <w:pPr>
        <w:pStyle w:val="ListParagraph"/>
        <w:numPr>
          <w:ilvl w:val="0"/>
          <w:numId w:val="7"/>
        </w:numPr>
        <w:spacing w:after="0"/>
        <w:ind w:left="-180" w:right="-198" w:hanging="270"/>
        <w:jc w:val="both"/>
        <w:rPr>
          <w:rFonts w:asciiTheme="majorHAnsi" w:hAnsiTheme="majorHAnsi"/>
          <w:bCs/>
        </w:rPr>
      </w:pPr>
      <w:r w:rsidRPr="00360640">
        <w:rPr>
          <w:rFonts w:asciiTheme="majorHAnsi" w:hAnsiTheme="majorHAnsi"/>
          <w:bCs/>
        </w:rPr>
        <w:t xml:space="preserve">Christopher C. Yang (Chris.Yang at Drexel.edu),  Drexel University, USA </w:t>
      </w:r>
    </w:p>
    <w:p w:rsidR="005330C4" w:rsidRPr="005330C4" w:rsidRDefault="005330C4" w:rsidP="00360640">
      <w:pPr>
        <w:pStyle w:val="ListParagraph"/>
        <w:numPr>
          <w:ilvl w:val="0"/>
          <w:numId w:val="7"/>
        </w:numPr>
        <w:spacing w:after="0"/>
        <w:ind w:left="-180" w:right="-198" w:hanging="270"/>
        <w:jc w:val="both"/>
        <w:rPr>
          <w:rFonts w:asciiTheme="majorHAnsi" w:hAnsiTheme="majorHAnsi"/>
          <w:bCs/>
        </w:rPr>
      </w:pPr>
      <w:r w:rsidRPr="005330C4">
        <w:rPr>
          <w:rFonts w:asciiTheme="majorHAnsi" w:hAnsiTheme="majorHAnsi"/>
          <w:bCs/>
        </w:rPr>
        <w:t xml:space="preserve">Sophia Ananiadou (Sophia.Ananiadou at manchester.ac.uk), University of Manchester, UK and National Centre for Text Mining </w:t>
      </w:r>
    </w:p>
    <w:p w:rsidR="00A31D98" w:rsidRPr="00360640" w:rsidRDefault="005330C4" w:rsidP="00360640">
      <w:pPr>
        <w:pStyle w:val="ListParagraph"/>
        <w:numPr>
          <w:ilvl w:val="0"/>
          <w:numId w:val="7"/>
        </w:numPr>
        <w:spacing w:after="0"/>
        <w:ind w:left="-180" w:right="-198" w:hanging="270"/>
        <w:jc w:val="both"/>
        <w:rPr>
          <w:rFonts w:asciiTheme="majorHAnsi" w:hAnsiTheme="majorHAnsi"/>
          <w:bCs/>
        </w:rPr>
      </w:pPr>
      <w:r w:rsidRPr="005330C4">
        <w:rPr>
          <w:rFonts w:asciiTheme="majorHAnsi" w:hAnsiTheme="majorHAnsi"/>
          <w:bCs/>
        </w:rPr>
        <w:t>Gondy Leroy, Claremont Graduate University (gondy.leroy at cgu.edu)</w:t>
      </w:r>
    </w:p>
    <w:sectPr w:rsidR="00A31D98" w:rsidRPr="00360640" w:rsidSect="000A284E">
      <w:pgSz w:w="12240" w:h="15840"/>
      <w:pgMar w:top="360" w:right="1440"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Trajan Pro">
    <w:panose1 w:val="00000000000000000000"/>
    <w:charset w:val="00"/>
    <w:family w:val="roman"/>
    <w:notTrueType/>
    <w:pitch w:val="variable"/>
    <w:sig w:usb0="800000AF" w:usb1="5000204B" w:usb2="00000000" w:usb3="00000000" w:csb0="0000009B" w:csb1="00000000"/>
  </w:font>
  <w:font w:name="Rockwell">
    <w:panose1 w:val="020606030202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75EBD"/>
    <w:multiLevelType w:val="hybridMultilevel"/>
    <w:tmpl w:val="A802C2D6"/>
    <w:lvl w:ilvl="0" w:tplc="0D026DFE">
      <w:start w:val="1"/>
      <w:numFmt w:val="bullet"/>
      <w:lvlText w:val=""/>
      <w:lvlJc w:val="left"/>
      <w:pPr>
        <w:ind w:left="720" w:hanging="360"/>
      </w:pPr>
      <w:rPr>
        <w:rFonts w:ascii="Wingdings 3" w:hAnsi="Wingdings 3"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004A12"/>
    <w:multiLevelType w:val="hybridMultilevel"/>
    <w:tmpl w:val="D10E7DB6"/>
    <w:lvl w:ilvl="0" w:tplc="D4CC51F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7B4C36"/>
    <w:multiLevelType w:val="hybridMultilevel"/>
    <w:tmpl w:val="FFF03FC6"/>
    <w:lvl w:ilvl="0" w:tplc="A61AC048">
      <w:start w:val="1"/>
      <w:numFmt w:val="bullet"/>
      <w:lvlText w:val=""/>
      <w:lvlJc w:val="left"/>
      <w:pPr>
        <w:ind w:left="270" w:hanging="360"/>
      </w:pPr>
      <w:rPr>
        <w:rFonts w:ascii="Wingdings 3" w:hAnsi="Wingdings 3"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
    <w:nsid w:val="41FF2151"/>
    <w:multiLevelType w:val="hybridMultilevel"/>
    <w:tmpl w:val="AF0E369C"/>
    <w:lvl w:ilvl="0" w:tplc="C42661FC">
      <w:start w:val="1"/>
      <w:numFmt w:val="bullet"/>
      <w:lvlText w:val=""/>
      <w:lvlJc w:val="left"/>
      <w:pPr>
        <w:ind w:left="720" w:hanging="360"/>
      </w:pPr>
      <w:rPr>
        <w:rFonts w:ascii="Wingdings 3" w:hAnsi="Wingdings 3"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2957D1"/>
    <w:multiLevelType w:val="hybridMultilevel"/>
    <w:tmpl w:val="7B2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30610A"/>
    <w:multiLevelType w:val="hybridMultilevel"/>
    <w:tmpl w:val="16089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6373CF"/>
    <w:multiLevelType w:val="hybridMultilevel"/>
    <w:tmpl w:val="2A9CFA26"/>
    <w:lvl w:ilvl="0" w:tplc="A61AC048">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84E"/>
    <w:rsid w:val="000A284E"/>
    <w:rsid w:val="0016383B"/>
    <w:rsid w:val="001A0F23"/>
    <w:rsid w:val="001B082D"/>
    <w:rsid w:val="00360640"/>
    <w:rsid w:val="005330C4"/>
    <w:rsid w:val="005D3DF6"/>
    <w:rsid w:val="009172DC"/>
    <w:rsid w:val="00A31D98"/>
    <w:rsid w:val="00A60744"/>
    <w:rsid w:val="00BB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84E"/>
    <w:pPr>
      <w:ind w:left="720"/>
      <w:contextualSpacing/>
    </w:pPr>
  </w:style>
  <w:style w:type="character" w:styleId="Hyperlink">
    <w:name w:val="Hyperlink"/>
    <w:basedOn w:val="DefaultParagraphFont"/>
    <w:uiPriority w:val="99"/>
    <w:unhideWhenUsed/>
    <w:rsid w:val="000A284E"/>
    <w:rPr>
      <w:color w:val="0000FF" w:themeColor="hyperlink"/>
      <w:u w:val="single"/>
    </w:rPr>
  </w:style>
  <w:style w:type="paragraph" w:styleId="BalloonText">
    <w:name w:val="Balloon Text"/>
    <w:basedOn w:val="Normal"/>
    <w:link w:val="BalloonTextChar"/>
    <w:uiPriority w:val="99"/>
    <w:semiHidden/>
    <w:unhideWhenUsed/>
    <w:rsid w:val="00BB4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E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84E"/>
    <w:pPr>
      <w:ind w:left="720"/>
      <w:contextualSpacing/>
    </w:pPr>
  </w:style>
  <w:style w:type="character" w:styleId="Hyperlink">
    <w:name w:val="Hyperlink"/>
    <w:basedOn w:val="DefaultParagraphFont"/>
    <w:uiPriority w:val="99"/>
    <w:unhideWhenUsed/>
    <w:rsid w:val="000A284E"/>
    <w:rPr>
      <w:color w:val="0000FF" w:themeColor="hyperlink"/>
      <w:u w:val="single"/>
    </w:rPr>
  </w:style>
  <w:style w:type="paragraph" w:styleId="BalloonText">
    <w:name w:val="Balloon Text"/>
    <w:basedOn w:val="Normal"/>
    <w:link w:val="BalloonTextChar"/>
    <w:uiPriority w:val="99"/>
    <w:semiHidden/>
    <w:unhideWhenUsed/>
    <w:rsid w:val="00BB4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E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tmis.acm.org/" TargetMode="External"/><Relationship Id="rId4" Type="http://schemas.microsoft.com/office/2007/relationships/stylesWithEffects" Target="stylesWithEffects.xml"/><Relationship Id="rId9" Type="http://schemas.openxmlformats.org/officeDocument/2006/relationships/hyperlink" Target="http://mc.manuscriptcentral.com/tm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4FB37-2401-4536-8E7F-59CBBD08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Larson</dc:creator>
  <cp:lastModifiedBy>Cathy Larson</cp:lastModifiedBy>
  <cp:revision>3</cp:revision>
  <dcterms:created xsi:type="dcterms:W3CDTF">2012-09-09T20:44:00Z</dcterms:created>
  <dcterms:modified xsi:type="dcterms:W3CDTF">2012-09-09T22:07:00Z</dcterms:modified>
</cp:coreProperties>
</file>