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Affiliate Marketing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eCommerce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Merchant/Advertiser: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Affiliate/Publisher: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AFFILIATE PROGRAM TERMS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Commission Rate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 of net sale / $[___] per lead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Cookie Duration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 days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Minimum Payout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Payment Frequency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Monthly (Net 30)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Attribution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Last-click / First-click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AFFILIATE OBLIGATIONS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Disclose affiliate relationship per FTC guidelines on all content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Not bid on Merchant's branded keywords without written permission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Not use spam, misleading ads, or cookie stuffing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Comply with all applicable laws (CAN-SPAM, GDPR, CCPA)</w:t>
      </w:r>
    </w:p>
    <w:p>
      <w:pPr>
        <w:spacing w:after="80"/>
      </w:pPr>
      <w:r>
        <w:t xml:space="preserve"/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FTC requires clear and conspicuous disclosure of affiliate relationships. Failure to disclose may result in immediate termination and forfeiture of commissions.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PROHIBITED TRAFFIC SOURCES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The following are prohibited: spam, typosquatting, adware/spyware, incentivized traffic without disclosure, and any traffic violating Merchant's brand guidelines.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COMMISSION CLAWBACKS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Commissions on returned or fraudulent orders will be deducted from future payments. Commission hold period: [___] days from sale date.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TERM &amp; 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30 days notice. Affiliate forfeits unpaid commissions if terminated for cause (fraud, TOS violation).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Disputes via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Affiliate: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eCommerce  ·  Affiliate Marketing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2026-03-14T19:30:25.479Z</dcterms:created>
  <dcterms:modified xsi:type="dcterms:W3CDTF">2026-03-14T19:30:25.479Z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