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aps/>
          <w:color w:val="1F3864"/>
          <w:sz w:val="26"/>
          <w:szCs w:val="26"/>
        </w:rPr>
        <w:t xml:space="preserve">LETTER OF INTENT — REAL ESTATE ACQUISITION</w:t>
      </w:r>
    </w:p>
    <w:p>
      <w:pPr>
        <w:spacing w:after="80"/>
      </w:pPr>
    </w:p>
    <w:p>
      <w:pPr>
        <w:spacing w:before="60" w:after="60"/>
        <w:jc w:val="both"/>
      </w:pPr>
      <w:r>
        <w:rPr>
          <w:rFonts w:ascii="Times New Roman" w:cs="Times New Roman" w:eastAsia="Times New Roman" w:hAnsi="Times New Roman"/>
          <w:b/>
          <w:bCs/>
          <w:sz w:val="22"/>
          <w:szCs w:val="22"/>
        </w:rPr>
        <w:t xml:space="preserve">Date:</w:t>
      </w:r>
      <w:r>
        <w:rPr>
          <w:rFonts w:ascii="Times New Roman" w:cs="Times New Roman" w:eastAsia="Times New Roman" w:hAnsi="Times New Roman"/>
          <w:sz w:val="22"/>
          <w:szCs w:val="22"/>
        </w:rPr>
        <w:t xml:space="preserve"> [INSERT DATE]  </w:t>
      </w:r>
    </w:p>
    <w:p>
      <w:pPr>
        <w:spacing w:before="60" w:after="60"/>
        <w:jc w:val="both"/>
      </w:pPr>
      <w:r>
        <w:rPr>
          <w:rFonts w:ascii="Times New Roman" w:cs="Times New Roman" w:eastAsia="Times New Roman" w:hAnsi="Times New Roman"/>
          <w:b/>
          <w:bCs/>
          <w:sz w:val="22"/>
          <w:szCs w:val="22"/>
        </w:rPr>
        <w:t xml:space="preserve">CONFIDENTIAL — NOT BINDING EXCEPT AS EXPRESSLY STATED</w:t>
      </w:r>
    </w:p>
    <w:p>
      <w:pPr>
        <w:spacing w:after="80"/>
      </w:pPr>
    </w:p>
    <w:p>
      <w:pPr>
        <w:spacing w:before="60" w:after="60"/>
        <w:jc w:val="both"/>
      </w:pPr>
      <w:r>
        <w:rPr>
          <w:rFonts w:ascii="Times New Roman" w:cs="Times New Roman" w:eastAsia="Times New Roman" w:hAnsi="Times New Roman"/>
          <w:sz w:val="22"/>
          <w:szCs w:val="22"/>
        </w:rPr>
        <w:t xml:space="preserve">This Letter of Intent ("</w:t>
      </w:r>
      <w:r>
        <w:rPr>
          <w:rFonts w:ascii="Times New Roman" w:cs="Times New Roman" w:eastAsia="Times New Roman" w:hAnsi="Times New Roman"/>
          <w:b/>
          <w:bCs/>
          <w:sz w:val="22"/>
          <w:szCs w:val="22"/>
        </w:rPr>
        <w:t xml:space="preserve">LOI</w:t>
      </w:r>
      <w:r>
        <w:rPr>
          <w:rFonts w:ascii="Times New Roman" w:cs="Times New Roman" w:eastAsia="Times New Roman" w:hAnsi="Times New Roman"/>
          <w:sz w:val="22"/>
          <w:szCs w:val="22"/>
        </w:rPr>
        <w:t xml:space="preserve">") is submitted by:</w:t>
      </w:r>
    </w:p>
    <w:p>
      <w:pPr>
        <w:spacing w:after="80"/>
      </w:pPr>
    </w:p>
    <w:p>
      <w:pPr>
        <w:spacing w:before="60" w:after="60"/>
        <w:jc w:val="both"/>
      </w:pPr>
      <w:r>
        <w:rPr>
          <w:rFonts w:ascii="Times New Roman" w:cs="Times New Roman" w:eastAsia="Times New Roman" w:hAnsi="Times New Roman"/>
          <w:b/>
          <w:bCs/>
          <w:sz w:val="22"/>
          <w:szCs w:val="22"/>
        </w:rPr>
        <w:t xml:space="preserve">[BUYER/ACQUIRER NAME]</w:t>
      </w:r>
      <w:r>
        <w:rPr>
          <w:rFonts w:ascii="Times New Roman" w:cs="Times New Roman" w:eastAsia="Times New Roman" w:hAnsi="Times New Roman"/>
          <w:sz w:val="22"/>
          <w:szCs w:val="22"/>
        </w:rPr>
        <w:t xml:space="preserve">, a [State] [Entity Type] ("</w:t>
      </w:r>
      <w:r>
        <w:rPr>
          <w:rFonts w:ascii="Times New Roman" w:cs="Times New Roman" w:eastAsia="Times New Roman" w:hAnsi="Times New Roman"/>
          <w:b/>
          <w:bCs/>
          <w:sz w:val="22"/>
          <w:szCs w:val="22"/>
        </w:rPr>
        <w:t xml:space="preserve">Buyer</w:t>
      </w:r>
      <w:r>
        <w:rPr>
          <w:rFonts w:ascii="Times New Roman" w:cs="Times New Roman" w:eastAsia="Times New Roman" w:hAnsi="Times New Roman"/>
          <w:sz w:val="22"/>
          <w:szCs w:val="22"/>
        </w:rPr>
        <w:t xml:space="preserve">")</w:t>
      </w:r>
    </w:p>
    <w:p>
      <w:pPr>
        <w:spacing w:after="80"/>
      </w:pPr>
    </w:p>
    <w:p>
      <w:pPr>
        <w:spacing w:before="60" w:after="60"/>
        <w:jc w:val="both"/>
      </w:pPr>
      <w:r>
        <w:rPr>
          <w:rFonts w:ascii="Times New Roman" w:cs="Times New Roman" w:eastAsia="Times New Roman" w:hAnsi="Times New Roman"/>
          <w:sz w:val="22"/>
          <w:szCs w:val="22"/>
        </w:rPr>
        <w:t xml:space="preserve">to:</w:t>
      </w:r>
    </w:p>
    <w:p>
      <w:pPr>
        <w:spacing w:after="80"/>
      </w:pPr>
    </w:p>
    <w:p>
      <w:pPr>
        <w:spacing w:before="60" w:after="60"/>
        <w:jc w:val="both"/>
      </w:pPr>
      <w:r>
        <w:rPr>
          <w:rFonts w:ascii="Times New Roman" w:cs="Times New Roman" w:eastAsia="Times New Roman" w:hAnsi="Times New Roman"/>
          <w:b/>
          <w:bCs/>
          <w:sz w:val="22"/>
          <w:szCs w:val="22"/>
        </w:rPr>
        <w:t xml:space="preserve">[SELLER NAME]</w:t>
      </w:r>
      <w:r>
        <w:rPr>
          <w:rFonts w:ascii="Times New Roman" w:cs="Times New Roman" w:eastAsia="Times New Roman" w:hAnsi="Times New Roman"/>
          <w:sz w:val="22"/>
          <w:szCs w:val="22"/>
        </w:rPr>
        <w:t xml:space="preserve">, a [State] [Entity Type] ("</w:t>
      </w:r>
      <w:r>
        <w:rPr>
          <w:rFonts w:ascii="Times New Roman" w:cs="Times New Roman" w:eastAsia="Times New Roman" w:hAnsi="Times New Roman"/>
          <w:b/>
          <w:bCs/>
          <w:sz w:val="22"/>
          <w:szCs w:val="22"/>
        </w:rPr>
        <w:t xml:space="preserve">Seller</w:t>
      </w:r>
      <w:r>
        <w:rPr>
          <w:rFonts w:ascii="Times New Roman" w:cs="Times New Roman" w:eastAsia="Times New Roman" w:hAnsi="Times New Roman"/>
          <w:sz w:val="22"/>
          <w:szCs w:val="22"/>
        </w:rPr>
        <w:t xml:space="preserve">")</w:t>
      </w:r>
    </w:p>
    <w:p>
      <w:pPr>
        <w:spacing w:after="80"/>
      </w:pPr>
    </w:p>
    <w:p>
      <w:pPr>
        <w:spacing w:before="60" w:after="60"/>
        <w:jc w:val="both"/>
      </w:pPr>
      <w:r>
        <w:rPr>
          <w:rFonts w:ascii="Times New Roman" w:cs="Times New Roman" w:eastAsia="Times New Roman" w:hAnsi="Times New Roman"/>
          <w:sz w:val="22"/>
          <w:szCs w:val="22"/>
        </w:rPr>
        <w:t xml:space="preserve">regarding the potential acquisition of the property described herein (the "</w:t>
      </w:r>
      <w:r>
        <w:rPr>
          <w:rFonts w:ascii="Times New Roman" w:cs="Times New Roman" w:eastAsia="Times New Roman" w:hAnsi="Times New Roman"/>
          <w:b/>
          <w:bCs/>
          <w:sz w:val="22"/>
          <w:szCs w:val="22"/>
        </w:rPr>
        <w:t xml:space="preserve">Property</w:t>
      </w:r>
      <w:r>
        <w:rPr>
          <w:rFonts w:ascii="Times New Roman" w:cs="Times New Roman" w:eastAsia="Times New Roman" w:hAnsi="Times New Roman"/>
          <w:sz w:val="22"/>
          <w:szCs w:val="22"/>
        </w:rPr>
        <w:t xml:space="preserve">").</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1. PROPERTY</w:t>
      </w:r>
    </w:p>
    <w:p>
      <w:pPr>
        <w:spacing w:after="80"/>
      </w:pPr>
    </w:p>
    <w:p>
      <w:pPr>
        <w:spacing w:before="60" w:after="60"/>
        <w:jc w:val="both"/>
      </w:pPr>
      <w:r>
        <w:rPr>
          <w:rFonts w:ascii="Times New Roman" w:cs="Times New Roman" w:eastAsia="Times New Roman" w:hAnsi="Times New Roman"/>
          <w:sz w:val="22"/>
          <w:szCs w:val="22"/>
        </w:rPr>
        <w:t xml:space="preserve">The Property is located at [Full Address], [City], [State] [ZIP], identified as Tax Parcel No. [\_\_\_\_], and more particularly described in Exhibit A hereto.</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2. PURCHASE PRICE AND STRUCTURE</w:t>
      </w:r>
    </w:p>
    <w:p>
      <w:pPr>
        <w:spacing w:after="80"/>
      </w:pPr>
    </w:p>
    <w:p>
      <w:pPr>
        <w:spacing w:before="60" w:after="60"/>
        <w:jc w:val="both"/>
      </w:pPr>
      <w:r>
        <w:rPr>
          <w:rFonts w:ascii="Times New Roman" w:cs="Times New Roman" w:eastAsia="Times New Roman" w:hAnsi="Times New Roman"/>
          <w:b/>
          <w:bCs/>
          <w:sz w:val="22"/>
          <w:szCs w:val="22"/>
        </w:rPr>
        <w:t xml:space="preserve">2.1. Purchase Price:</w:t>
      </w:r>
      <w:r>
        <w:rPr>
          <w:rFonts w:ascii="Times New Roman" w:cs="Times New Roman" w:eastAsia="Times New Roman" w:hAnsi="Times New Roman"/>
          <w:sz w:val="22"/>
          <w:szCs w:val="22"/>
        </w:rPr>
        <w:t xml:space="preserve"> $[\_\_\_\_] (the "</w:t>
      </w:r>
      <w:r>
        <w:rPr>
          <w:rFonts w:ascii="Times New Roman" w:cs="Times New Roman" w:eastAsia="Times New Roman" w:hAnsi="Times New Roman"/>
          <w:b/>
          <w:bCs/>
          <w:sz w:val="22"/>
          <w:szCs w:val="22"/>
        </w:rPr>
        <w:t xml:space="preserve">Purchase Price</w:t>
      </w:r>
      <w:r>
        <w:rPr>
          <w:rFonts w:ascii="Times New Roman" w:cs="Times New Roman" w:eastAsia="Times New Roman" w:hAnsi="Times New Roman"/>
          <w:sz w:val="22"/>
          <w:szCs w:val="22"/>
        </w:rPr>
        <w:t xml:space="preserve">"), subject to adjustment as set forth herein.</w:t>
      </w:r>
    </w:p>
    <w:p>
      <w:pPr>
        <w:spacing w:after="80"/>
      </w:pPr>
    </w:p>
    <w:p>
      <w:pPr>
        <w:spacing w:before="60" w:after="60"/>
        <w:jc w:val="both"/>
      </w:pPr>
      <w:r>
        <w:rPr>
          <w:rFonts w:ascii="Times New Roman" w:cs="Times New Roman" w:eastAsia="Times New Roman" w:hAnsi="Times New Roman"/>
          <w:b/>
          <w:bCs/>
          <w:sz w:val="22"/>
          <w:szCs w:val="22"/>
        </w:rPr>
        <w:t xml:space="preserve">2.2. Earnest Money Deposit:</w:t>
      </w:r>
      <w:r>
        <w:rPr>
          <w:rFonts w:ascii="Times New Roman" w:cs="Times New Roman" w:eastAsia="Times New Roman" w:hAnsi="Times New Roman"/>
          <w:sz w:val="22"/>
          <w:szCs w:val="22"/>
        </w:rPr>
        <w:t xml:space="preserve"> Buyer shall deposit $[\_\_\_\_] (customize — standard institutional: 1%–3% of Purchase Price) into escrow with [Escrow Agent] within five (5) Business Days of execution of a definitive Purchase and Sale Agreement ("</w:t>
      </w:r>
      <w:r>
        <w:rPr>
          <w:rFonts w:ascii="Times New Roman" w:cs="Times New Roman" w:eastAsia="Times New Roman" w:hAnsi="Times New Roman"/>
          <w:b/>
          <w:bCs/>
          <w:sz w:val="22"/>
          <w:szCs w:val="22"/>
        </w:rPr>
        <w:t xml:space="preserve">PSA</w:t>
      </w:r>
      <w:r>
        <w:rPr>
          <w:rFonts w:ascii="Times New Roman" w:cs="Times New Roman" w:eastAsia="Times New Roman" w:hAnsi="Times New Roman"/>
          <w:sz w:val="22"/>
          <w:szCs w:val="22"/>
        </w:rPr>
        <w:t xml:space="preserve">"). The deposit shall be: (a) refundable during the Due Diligence Period; (b) non-refundable thereafter except for Seller default or failure of agreed conditions.</w:t>
      </w:r>
    </w:p>
    <w:p>
      <w:pPr>
        <w:spacing w:after="80"/>
      </w:pPr>
    </w:p>
    <w:p>
      <w:pPr>
        <w:spacing w:before="60" w:after="60"/>
        <w:jc w:val="both"/>
      </w:pPr>
      <w:r>
        <w:rPr>
          <w:rFonts w:ascii="Times New Roman" w:cs="Times New Roman" w:eastAsia="Times New Roman" w:hAnsi="Times New Roman"/>
          <w:b/>
          <w:bCs/>
          <w:sz w:val="22"/>
          <w:szCs w:val="22"/>
        </w:rPr>
        <w:t xml:space="preserve">2.3. Financing Contingency:</w:t>
      </w:r>
      <w:r>
        <w:rPr>
          <w:rFonts w:ascii="Times New Roman" w:cs="Times New Roman" w:eastAsia="Times New Roman" w:hAnsi="Times New Roman"/>
          <w:sz w:val="22"/>
          <w:szCs w:val="22"/>
        </w:rPr>
        <w:t xml:space="preserve"> [Check one]</w:t>
      </w:r>
    </w:p>
    <w:p>
      <w:pPr>
        <w:spacing w:before="60" w:after="60"/>
        <w:jc w:val="both"/>
      </w:pPr>
      <w:r>
        <w:rPr>
          <w:rFonts w:ascii="Times New Roman" w:cs="Times New Roman" w:eastAsia="Times New Roman" w:hAnsi="Times New Roman"/>
          <w:sz w:val="22"/>
          <w:szCs w:val="22"/>
        </w:rPr>
        <w:t xml:space="preserve">- ☐ All-cash, no financing contingency</w:t>
      </w:r>
    </w:p>
    <w:p>
      <w:pPr>
        <w:spacing w:before="60" w:after="60"/>
        <w:jc w:val="both"/>
      </w:pPr>
      <w:r>
        <w:rPr>
          <w:rFonts w:ascii="Times New Roman" w:cs="Times New Roman" w:eastAsia="Times New Roman" w:hAnsi="Times New Roman"/>
          <w:sz w:val="22"/>
          <w:szCs w:val="22"/>
        </w:rPr>
        <w:t xml:space="preserve">- ☐ Subject to financing at [\_\_\_]% LTV at a rate not exceeding [\_\_\_]% per annum within [\_\_\_] days</w:t>
      </w:r>
    </w:p>
    <w:p>
      <w:pPr>
        <w:spacing w:after="80"/>
      </w:pPr>
    </w:p>
    <w:p>
      <w:pPr>
        <w:spacing w:before="60" w:after="60"/>
        <w:jc w:val="both"/>
      </w:pPr>
      <w:r>
        <w:rPr>
          <w:rFonts w:ascii="Times New Roman" w:cs="Times New Roman" w:eastAsia="Times New Roman" w:hAnsi="Times New Roman"/>
          <w:b/>
          <w:bCs/>
          <w:sz w:val="22"/>
          <w:szCs w:val="22"/>
        </w:rPr>
        <w:t xml:space="preserve">2.4. Closing Date:</w:t>
      </w:r>
      <w:r>
        <w:rPr>
          <w:rFonts w:ascii="Times New Roman" w:cs="Times New Roman" w:eastAsia="Times New Roman" w:hAnsi="Times New Roman"/>
          <w:sz w:val="22"/>
          <w:szCs w:val="22"/>
        </w:rPr>
        <w:t xml:space="preserve"> On or before [\_\_\_\_] days (customize — standard: 30–60 days) following execution of the PSA, or such other date as mutually agreed.</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3. DUE DILIGENCE</w:t>
      </w:r>
    </w:p>
    <w:p>
      <w:pPr>
        <w:spacing w:after="80"/>
      </w:pPr>
    </w:p>
    <w:p>
      <w:pPr>
        <w:spacing w:before="60" w:after="60"/>
        <w:jc w:val="both"/>
      </w:pPr>
      <w:r>
        <w:rPr>
          <w:rFonts w:ascii="Times New Roman" w:cs="Times New Roman" w:eastAsia="Times New Roman" w:hAnsi="Times New Roman"/>
          <w:b/>
          <w:bCs/>
          <w:sz w:val="22"/>
          <w:szCs w:val="22"/>
        </w:rPr>
        <w:t xml:space="preserve">3.1. Due Diligence Period:</w:t>
      </w:r>
      <w:r>
        <w:rPr>
          <w:rFonts w:ascii="Times New Roman" w:cs="Times New Roman" w:eastAsia="Times New Roman" w:hAnsi="Times New Roman"/>
          <w:sz w:val="22"/>
          <w:szCs w:val="22"/>
        </w:rPr>
        <w:t xml:space="preserve"> [\_\_\_] days (customize — standard institutional: 30–45 days) from execution of the PSA (the "</w:t>
      </w:r>
      <w:r>
        <w:rPr>
          <w:rFonts w:ascii="Times New Roman" w:cs="Times New Roman" w:eastAsia="Times New Roman" w:hAnsi="Times New Roman"/>
          <w:b/>
          <w:bCs/>
          <w:sz w:val="22"/>
          <w:szCs w:val="22"/>
        </w:rPr>
        <w:t xml:space="preserve">Due Diligence Period</w:t>
      </w:r>
      <w:r>
        <w:rPr>
          <w:rFonts w:ascii="Times New Roman" w:cs="Times New Roman" w:eastAsia="Times New Roman" w:hAnsi="Times New Roman"/>
          <w:sz w:val="22"/>
          <w:szCs w:val="22"/>
        </w:rPr>
        <w:t xml:space="preserve">"), during which Buyer shall have the right to conduct physical, financial, environmental, title, and legal due diligence.</w:t>
      </w:r>
    </w:p>
    <w:p>
      <w:pPr>
        <w:spacing w:after="80"/>
      </w:pPr>
    </w:p>
    <w:p>
      <w:pPr>
        <w:spacing w:before="60" w:after="60"/>
        <w:jc w:val="both"/>
      </w:pPr>
      <w:r>
        <w:rPr>
          <w:rFonts w:ascii="Times New Roman" w:cs="Times New Roman" w:eastAsia="Times New Roman" w:hAnsi="Times New Roman"/>
          <w:b/>
          <w:bCs/>
          <w:sz w:val="22"/>
          <w:szCs w:val="22"/>
        </w:rPr>
        <w:t xml:space="preserve">3.2. Seller's Deliverables:</w:t>
      </w:r>
      <w:r>
        <w:rPr>
          <w:rFonts w:ascii="Times New Roman" w:cs="Times New Roman" w:eastAsia="Times New Roman" w:hAnsi="Times New Roman"/>
          <w:sz w:val="22"/>
          <w:szCs w:val="22"/>
        </w:rPr>
        <w:t xml:space="preserve"> Within five (5) Business Days of PSA execution, Seller shall deliver: rent rolls; operating statements (3 years); lease copies; service contracts; environmental reports; title commitments; survey; and all other material documents relating to the Property.</w:t>
      </w:r>
    </w:p>
    <w:p>
      <w:pPr>
        <w:spacing w:after="80"/>
      </w:pPr>
    </w:p>
    <w:p>
      <w:pPr>
        <w:spacing w:before="60" w:after="60"/>
        <w:jc w:val="both"/>
      </w:pPr>
      <w:r>
        <w:rPr>
          <w:rFonts w:ascii="Times New Roman" w:cs="Times New Roman" w:eastAsia="Times New Roman" w:hAnsi="Times New Roman"/>
          <w:b/>
          <w:bCs/>
          <w:sz w:val="22"/>
          <w:szCs w:val="22"/>
        </w:rPr>
        <w:t xml:space="preserve">3.3. Access:</w:t>
      </w:r>
      <w:r>
        <w:rPr>
          <w:rFonts w:ascii="Times New Roman" w:cs="Times New Roman" w:eastAsia="Times New Roman" w:hAnsi="Times New Roman"/>
          <w:sz w:val="22"/>
          <w:szCs w:val="22"/>
        </w:rPr>
        <w:t xml:space="preserve"> Buyer and its representatives shall have reasonable access to the Property and Property records during the Due Diligence Period upon twenty-four (24) hours prior notice.</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4. TITLE AND SURVEY</w:t>
      </w:r>
    </w:p>
    <w:p>
      <w:pPr>
        <w:spacing w:after="80"/>
      </w:pPr>
    </w:p>
    <w:p>
      <w:pPr>
        <w:spacing w:before="60" w:after="60"/>
        <w:jc w:val="both"/>
      </w:pPr>
      <w:r>
        <w:rPr>
          <w:rFonts w:ascii="Times New Roman" w:cs="Times New Roman" w:eastAsia="Times New Roman" w:hAnsi="Times New Roman"/>
          <w:sz w:val="22"/>
          <w:szCs w:val="22"/>
        </w:rPr>
        <w:t xml:space="preserve">Buyer shall obtain a title commitment from a nationally recognized title insurance company. Title shall be insurable at standard rates, free of all liens and encumbrances except Permitted Exceptions to be agreed in the PSA. Seller shall provide a current ALTA/NSPS survey.</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5. REPRESENTATIONS AND WARRANTIES</w:t>
      </w:r>
    </w:p>
    <w:p>
      <w:pPr>
        <w:spacing w:after="80"/>
      </w:pPr>
    </w:p>
    <w:p>
      <w:pPr>
        <w:spacing w:before="60" w:after="60"/>
        <w:jc w:val="both"/>
      </w:pPr>
      <w:r>
        <w:rPr>
          <w:rFonts w:ascii="Times New Roman" w:cs="Times New Roman" w:eastAsia="Times New Roman" w:hAnsi="Times New Roman"/>
          <w:sz w:val="22"/>
          <w:szCs w:val="22"/>
        </w:rPr>
        <w:t xml:space="preserve">The PSA will include customary representations and warranties by Seller regarding: (a) authority and good standing; (b) no pending litigation or condemnation; (c) compliance with applicable law; (d) environmental status; (e) accuracy of rent roll and financial statements; and (f) no material adverse changes. Seller's representations shall survive closing for twelve (12) months (customize) with a basket of $[\_\_\_\_] and a cap of [\_\_]% of the Purchase Price.</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6. EXCLUSIVITY / NO-SHOP</w:t>
      </w:r>
    </w:p>
    <w:p>
      <w:pPr>
        <w:spacing w:after="80"/>
      </w:pPr>
    </w:p>
    <w:p>
      <w:pPr>
        <w:spacing w:before="60" w:after="60"/>
        <w:jc w:val="both"/>
      </w:pPr>
      <w:r>
        <w:rPr>
          <w:rFonts w:ascii="Times New Roman" w:cs="Times New Roman" w:eastAsia="Times New Roman" w:hAnsi="Times New Roman"/>
          <w:sz w:val="22"/>
          <w:szCs w:val="22"/>
        </w:rPr>
        <w:t xml:space="preserve">From the date of execution of this LOI through the earlier of: (a) execution of the PSA; or (b) [\_\_\_] days (customize — standard: 15–30 days) (the "</w:t>
      </w:r>
      <w:r>
        <w:rPr>
          <w:rFonts w:ascii="Times New Roman" w:cs="Times New Roman" w:eastAsia="Times New Roman" w:hAnsi="Times New Roman"/>
          <w:b/>
          <w:bCs/>
          <w:sz w:val="22"/>
          <w:szCs w:val="22"/>
        </w:rPr>
        <w:t xml:space="preserve">Exclusivity Period</w:t>
      </w:r>
      <w:r>
        <w:rPr>
          <w:rFonts w:ascii="Times New Roman" w:cs="Times New Roman" w:eastAsia="Times New Roman" w:hAnsi="Times New Roman"/>
          <w:sz w:val="22"/>
          <w:szCs w:val="22"/>
        </w:rPr>
        <w:t xml:space="preserve">"), Seller shall not solicit, negotiate with, or accept any offer from any third party for the sale of the Property. This Section 6 is </w:t>
      </w:r>
      <w:r>
        <w:rPr>
          <w:rFonts w:ascii="Times New Roman" w:cs="Times New Roman" w:eastAsia="Times New Roman" w:hAnsi="Times New Roman"/>
          <w:b/>
          <w:bCs/>
          <w:sz w:val="22"/>
          <w:szCs w:val="22"/>
        </w:rPr>
        <w:t xml:space="preserve">BINDING</w:t>
      </w:r>
      <w:r>
        <w:rPr>
          <w:rFonts w:ascii="Times New Roman" w:cs="Times New Roman" w:eastAsia="Times New Roman" w:hAnsi="Times New Roman"/>
          <w:sz w:val="22"/>
          <w:szCs w:val="22"/>
        </w:rPr>
        <w:t xml:space="preserve"> upon execution.</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7. CONFIDENTIALITY</w:t>
      </w:r>
    </w:p>
    <w:p>
      <w:pPr>
        <w:spacing w:after="80"/>
      </w:pPr>
    </w:p>
    <w:p>
      <w:pPr>
        <w:spacing w:before="60" w:after="60"/>
        <w:jc w:val="both"/>
      </w:pPr>
      <w:r>
        <w:rPr>
          <w:rFonts w:ascii="Times New Roman" w:cs="Times New Roman" w:eastAsia="Times New Roman" w:hAnsi="Times New Roman"/>
          <w:sz w:val="22"/>
          <w:szCs w:val="22"/>
        </w:rPr>
        <w:t xml:space="preserve">The terms of this LOI and all information exchanged in connection with this transaction are confidential. Neither Party shall disclose such terms to any third party (other than advisors, lenders, and investors bound by confidentiality) without the other Party's written consent. This Section 7 is </w:t>
      </w:r>
      <w:r>
        <w:rPr>
          <w:rFonts w:ascii="Times New Roman" w:cs="Times New Roman" w:eastAsia="Times New Roman" w:hAnsi="Times New Roman"/>
          <w:b/>
          <w:bCs/>
          <w:sz w:val="22"/>
          <w:szCs w:val="22"/>
        </w:rPr>
        <w:t xml:space="preserve">BINDING</w:t>
      </w:r>
      <w:r>
        <w:rPr>
          <w:rFonts w:ascii="Times New Roman" w:cs="Times New Roman" w:eastAsia="Times New Roman" w:hAnsi="Times New Roman"/>
          <w:sz w:val="22"/>
          <w:szCs w:val="22"/>
        </w:rPr>
        <w:t xml:space="preserve"> upon execution.</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8. BROKERS</w:t>
      </w:r>
    </w:p>
    <w:p>
      <w:pPr>
        <w:spacing w:after="80"/>
      </w:pPr>
    </w:p>
    <w:p>
      <w:pPr>
        <w:spacing w:before="60" w:after="60"/>
        <w:jc w:val="both"/>
      </w:pPr>
      <w:r>
        <w:rPr>
          <w:rFonts w:ascii="Times New Roman" w:cs="Times New Roman" w:eastAsia="Times New Roman" w:hAnsi="Times New Roman"/>
          <w:sz w:val="22"/>
          <w:szCs w:val="22"/>
        </w:rPr>
        <w:t xml:space="preserve">[Seller's Broker: Name / N/A]. [Buyer's Broker: Name / N/A]. Each Party shall be responsible for any commission owed to its own broker. Neither Party is aware of any other broker entitled to a commission in connection with this transaction.</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9. GOVERNING LAW; DISPUTE RESOLUTION</w:t>
      </w:r>
    </w:p>
    <w:p>
      <w:pPr>
        <w:spacing w:after="80"/>
      </w:pPr>
    </w:p>
    <w:p>
      <w:pPr>
        <w:spacing w:before="60" w:after="60"/>
        <w:jc w:val="both"/>
      </w:pPr>
      <w:r>
        <w:rPr>
          <w:rFonts w:ascii="Times New Roman" w:cs="Times New Roman" w:eastAsia="Times New Roman" w:hAnsi="Times New Roman"/>
          <w:sz w:val="22"/>
          <w:szCs w:val="22"/>
        </w:rPr>
        <w:t xml:space="preserve">This LOI, and any binding provisions herein, shall be governed by New York law. Disputes regarding binding provisions shall be resolved by AAA arbitration in New York City.</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10. NON-BINDING NATURE; BINDING PROVISIONS</w:t>
      </w:r>
    </w:p>
    <w:p>
      <w:pPr>
        <w:spacing w:after="80"/>
      </w:pPr>
    </w:p>
    <w:p>
      <w:pPr>
        <w:spacing w:before="60" w:after="60"/>
        <w:jc w:val="both"/>
      </w:pPr>
      <w:r>
        <w:rPr>
          <w:rFonts w:ascii="Times New Roman" w:cs="Times New Roman" w:eastAsia="Times New Roman" w:hAnsi="Times New Roman"/>
          <w:b/>
          <w:bCs/>
          <w:sz w:val="22"/>
          <w:szCs w:val="22"/>
        </w:rPr>
        <w:t xml:space="preserve">This LOI is non-binding</w:t>
      </w:r>
      <w:r>
        <w:rPr>
          <w:rFonts w:ascii="Times New Roman" w:cs="Times New Roman" w:eastAsia="Times New Roman" w:hAnsi="Times New Roman"/>
          <w:sz w:val="22"/>
          <w:szCs w:val="22"/>
        </w:rPr>
        <w:t xml:space="preserve"> and does not constitute a contract to purchase or sell the Property, except that Sections 6 (Exclusivity), 7 (Confidentiality), 9 (Governing Law), and this Section 10 are </w:t>
      </w:r>
      <w:r>
        <w:rPr>
          <w:rFonts w:ascii="Times New Roman" w:cs="Times New Roman" w:eastAsia="Times New Roman" w:hAnsi="Times New Roman"/>
          <w:b/>
          <w:bCs/>
          <w:sz w:val="22"/>
          <w:szCs w:val="22"/>
        </w:rPr>
        <w:t xml:space="preserve">BINDING</w:t>
      </w:r>
      <w:r>
        <w:rPr>
          <w:rFonts w:ascii="Times New Roman" w:cs="Times New Roman" w:eastAsia="Times New Roman" w:hAnsi="Times New Roman"/>
          <w:sz w:val="22"/>
          <w:szCs w:val="22"/>
        </w:rPr>
        <w:t xml:space="preserve">. Neither Party shall have any obligation to negotiate or execute a PSA or to consummate any transaction. Either Party may discontinue negotiations at any time for any reason.</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11. EXPIRATION</w:t>
      </w:r>
    </w:p>
    <w:p>
      <w:pPr>
        <w:spacing w:after="80"/>
      </w:pPr>
    </w:p>
    <w:p>
      <w:pPr>
        <w:spacing w:before="60" w:after="60"/>
        <w:jc w:val="both"/>
      </w:pPr>
      <w:r>
        <w:rPr>
          <w:rFonts w:ascii="Times New Roman" w:cs="Times New Roman" w:eastAsia="Times New Roman" w:hAnsi="Times New Roman"/>
          <w:sz w:val="22"/>
          <w:szCs w:val="22"/>
        </w:rPr>
        <w:t xml:space="preserve">This LOI shall expire if not countersigned by Seller and returned to Buyer by 5:00 p.m. Eastern Time on [Date] (customize — standard: 3–5 Business Days).</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ELECTRONIC SIGNATURES / COUNTERPARTS</w:t>
      </w:r>
    </w:p>
    <w:p>
      <w:pPr>
        <w:spacing w:after="80"/>
      </w:pPr>
    </w:p>
    <w:p>
      <w:pPr>
        <w:spacing w:before="60" w:after="60"/>
        <w:jc w:val="both"/>
      </w:pPr>
      <w:r>
        <w:rPr>
          <w:rFonts w:ascii="Times New Roman" w:cs="Times New Roman" w:eastAsia="Times New Roman" w:hAnsi="Times New Roman"/>
          <w:sz w:val="22"/>
          <w:szCs w:val="22"/>
        </w:rPr>
        <w:t xml:space="preserve">This LOI may be executed by electronic signature (including DocuSign) and in counterparts, each deemed an original.</w:t>
      </w:r>
    </w:p>
    <w:p>
      <w:pPr>
        <w:spacing w:after="80"/>
      </w:pPr>
    </w:p>
    <w:p>
      <w:pPr>
        <w:pBdr>
          <w:bottom w:val="single" w:color="CCCCCC" w:sz="4" w:space="1"/>
        </w:pBdr>
        <w:spacing w:before="120" w:after="120"/>
      </w:pPr>
    </w:p>
    <w:p>
      <w:pPr>
        <w:spacing w:after="80"/>
      </w:pPr>
    </w:p>
    <w:p>
      <w:pPr>
        <w:spacing w:before="60" w:after="60"/>
        <w:jc w:val="both"/>
      </w:pPr>
      <w:r>
        <w:rPr>
          <w:rFonts w:ascii="Times New Roman" w:cs="Times New Roman" w:eastAsia="Times New Roman" w:hAnsi="Times New Roman"/>
          <w:b/>
          <w:bCs/>
          <w:sz w:val="22"/>
          <w:szCs w:val="22"/>
        </w:rPr>
        <w:t xml:space="preserve">BUYER:</w:t>
      </w:r>
    </w:p>
    <w:p>
      <w:pPr>
        <w:spacing w:after="80"/>
      </w:pPr>
    </w:p>
    <w:p>
      <w:pPr>
        <w:spacing w:before="60" w:after="60"/>
        <w:jc w:val="both"/>
      </w:pPr>
      <w:r>
        <w:rPr>
          <w:rFonts w:ascii="Times New Roman" w:cs="Times New Roman" w:eastAsia="Times New Roman" w:hAnsi="Times New Roman"/>
          <w:sz w:val="22"/>
          <w:szCs w:val="22"/>
        </w:rPr>
        <w:t xml:space="preserve">By: \_\_\_\_\_\_\_\_\_\_\_\_\_\_\_\_\_\_\_\_\_\_\_\_\_\_\_\_\_\_\_\_\_\_\_\_</w:t>
      </w:r>
    </w:p>
    <w:p>
      <w:pPr>
        <w:spacing w:before="60" w:after="60"/>
        <w:jc w:val="both"/>
      </w:pPr>
      <w:r>
        <w:rPr>
          <w:rFonts w:ascii="Times New Roman" w:cs="Times New Roman" w:eastAsia="Times New Roman" w:hAnsi="Times New Roman"/>
          <w:sz w:val="22"/>
          <w:szCs w:val="22"/>
        </w:rPr>
        <w:t xml:space="preserve">Name: [Name]  </w:t>
      </w:r>
    </w:p>
    <w:p>
      <w:pPr>
        <w:spacing w:before="60" w:after="60"/>
        <w:jc w:val="both"/>
      </w:pPr>
      <w:r>
        <w:rPr>
          <w:rFonts w:ascii="Times New Roman" w:cs="Times New Roman" w:eastAsia="Times New Roman" w:hAnsi="Times New Roman"/>
          <w:sz w:val="22"/>
          <w:szCs w:val="22"/>
        </w:rPr>
        <w:t xml:space="preserve">Title: [Title]  </w:t>
      </w:r>
    </w:p>
    <w:p>
      <w:pPr>
        <w:spacing w:before="60" w:after="60"/>
        <w:jc w:val="both"/>
      </w:pPr>
      <w:r>
        <w:rPr>
          <w:rFonts w:ascii="Times New Roman" w:cs="Times New Roman" w:eastAsia="Times New Roman" w:hAnsi="Times New Roman"/>
          <w:sz w:val="22"/>
          <w:szCs w:val="22"/>
        </w:rPr>
        <w:t xml:space="preserve">Date: \_\_\_\_\_\_\_\_\_\_\_\_\_\_\_\_\_</w:t>
      </w:r>
    </w:p>
    <w:p>
      <w:pPr>
        <w:spacing w:after="80"/>
      </w:pPr>
    </w:p>
    <w:p>
      <w:pPr>
        <w:spacing w:before="60" w:after="60"/>
        <w:jc w:val="both"/>
      </w:pPr>
      <w:r>
        <w:rPr>
          <w:rFonts w:ascii="Times New Roman" w:cs="Times New Roman" w:eastAsia="Times New Roman" w:hAnsi="Times New Roman"/>
          <w:b/>
          <w:bCs/>
          <w:sz w:val="22"/>
          <w:szCs w:val="22"/>
        </w:rPr>
        <w:t xml:space="preserve">SELLER:</w:t>
      </w:r>
    </w:p>
    <w:p>
      <w:pPr>
        <w:spacing w:after="80"/>
      </w:pPr>
    </w:p>
    <w:p>
      <w:pPr>
        <w:spacing w:before="60" w:after="60"/>
        <w:jc w:val="both"/>
      </w:pPr>
      <w:r>
        <w:rPr>
          <w:rFonts w:ascii="Times New Roman" w:cs="Times New Roman" w:eastAsia="Times New Roman" w:hAnsi="Times New Roman"/>
          <w:sz w:val="22"/>
          <w:szCs w:val="22"/>
        </w:rPr>
        <w:t xml:space="preserve">By: \_\_\_\_\_\_\_\_\_\_\_\_\_\_\_\_\_\_\_\_\_\_\_\_\_\_\_\_\_\_\_\_\_\_\_\_</w:t>
      </w:r>
    </w:p>
    <w:p>
      <w:pPr>
        <w:spacing w:before="60" w:after="60"/>
        <w:jc w:val="both"/>
      </w:pPr>
      <w:r>
        <w:rPr>
          <w:rFonts w:ascii="Times New Roman" w:cs="Times New Roman" w:eastAsia="Times New Roman" w:hAnsi="Times New Roman"/>
          <w:sz w:val="22"/>
          <w:szCs w:val="22"/>
        </w:rPr>
        <w:t xml:space="preserve">Name: [Name]  </w:t>
      </w:r>
    </w:p>
    <w:p>
      <w:pPr>
        <w:spacing w:before="60" w:after="60"/>
        <w:jc w:val="both"/>
      </w:pPr>
      <w:r>
        <w:rPr>
          <w:rFonts w:ascii="Times New Roman" w:cs="Times New Roman" w:eastAsia="Times New Roman" w:hAnsi="Times New Roman"/>
          <w:sz w:val="22"/>
          <w:szCs w:val="22"/>
        </w:rPr>
        <w:t xml:space="preserve">Title: [Title]  </w:t>
      </w:r>
    </w:p>
    <w:p>
      <w:pPr>
        <w:spacing w:before="60" w:after="60"/>
        <w:jc w:val="both"/>
      </w:pPr>
      <w:r>
        <w:rPr>
          <w:rFonts w:ascii="Times New Roman" w:cs="Times New Roman" w:eastAsia="Times New Roman" w:hAnsi="Times New Roman"/>
          <w:sz w:val="22"/>
          <w:szCs w:val="22"/>
        </w:rPr>
        <w:t xml:space="preserve">Date: \_\_\_\_\_\_\_\_\_\_\_\_\_\_\_\_\_</w:t>
      </w:r>
    </w:p>
    <w:p>
      <w:pPr>
        <w:spacing w:after="80"/>
      </w:pPr>
    </w:p>
    <w:p>
      <w:pPr>
        <w:pBdr>
          <w:bottom w:val="single" w:color="CCCCCC" w:sz="4" w:space="1"/>
        </w:pBdr>
        <w:spacing w:before="120" w:after="120"/>
      </w:pPr>
    </w:p>
    <w:p>
      <w:pPr>
        <w:pStyle w:val="Heading2"/>
      </w:pPr>
      <w:r>
        <w:rPr>
          <w:rFonts w:ascii="Arial" w:cs="Arial" w:eastAsia="Arial" w:hAnsi="Arial"/>
          <w:b/>
          <w:bCs/>
          <w:color w:val="1F3864"/>
          <w:sz w:val="24"/>
          <w:szCs w:val="24"/>
        </w:rPr>
        <w:t xml:space="preserve">EXHIBIT A — PROPERTY DESCRIPTION</w:t>
      </w:r>
    </w:p>
    <w:p>
      <w:pPr>
        <w:spacing w:before="60" w:after="60"/>
        <w:jc w:val="both"/>
      </w:pPr>
      <w:r>
        <w:rPr>
          <w:rFonts w:ascii="Times New Roman" w:cs="Times New Roman" w:eastAsia="Times New Roman" w:hAnsi="Times New Roman"/>
          <w:sz w:val="22"/>
          <w:szCs w:val="22"/>
        </w:rPr>
        <w:t xml:space="preserve">[Insert legal description and/or address]</w:t>
      </w:r>
    </w:p>
    <w:p>
      <w:pPr>
        <w:spacing w:after="80"/>
      </w:pPr>
    </w:p>
    <w:p>
      <w:pPr>
        <w:pBdr>
          <w:bottom w:val="single" w:color="CCCCCC" w:sz="4" w:space="1"/>
        </w:pBdr>
        <w:spacing w:before="120" w:after="120"/>
      </w:pPr>
    </w:p>
    <w:p>
      <w:pPr>
        <w:spacing w:before="60" w:after="60"/>
        <w:jc w:val="both"/>
      </w:pPr>
      <w:r>
        <w:rPr>
          <w:rFonts w:ascii="Times New Roman" w:cs="Times New Roman" w:eastAsia="Times New Roman" w:hAnsi="Times New Roman"/>
          <w:i/>
          <w:iCs/>
          <w:sz w:val="22"/>
          <w:szCs w:val="22"/>
        </w:rPr>
        <w:t xml:space="preserve">This LOI is not legal advice. Consult qualified New York real estate counsel before signing.</w:t>
      </w:r>
    </w:p>
    <w:sectPr>
      <w:footerReference w:type="default" r:id="rId6"/>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Note"/>
      <w:tabs>
        <w:tab w:val="right" w:pos="9026"/>
      </w:tabs>
    </w:pPr>
    <w:r>
      <w:rPr>
        <w:rFonts w:ascii="Arial" w:cs="Arial" w:eastAsia="Arial" w:hAnsi="Arial"/>
        <w:color w:val="666666"/>
        <w:sz w:val="16"/>
        <w:szCs w:val="16"/>
      </w:rPr>
      <w:t xml:space="preserve">RealDocs AI — Institutional Real Estate Agreements	</w:t>
    </w:r>
  </w:p>
  <w:p>
    <w:pPr>
      <w:pStyle w:val="FooterNote"/>
    </w:pPr>
    <w:r>
      <w:rPr>
        <w:rFonts w:ascii="Arial" w:cs="Arial" w:eastAsia="Arial" w:hAnsi="Arial"/>
        <w:i/>
        <w:iCs/>
        <w:color w:val="999999"/>
        <w:sz w:val="14"/>
        <w:szCs w:val="14"/>
      </w:rPr>
      <w:t xml:space="preserve">This document is a template only and does not constitute legal advice. Consult qualified New York counsel before execution.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aps/>
      <w:color w:val="1F3864"/>
      <w:sz w:val="26"/>
      <w:szCs w:val="26"/>
    </w:rPr>
  </w:style>
  <w:style w:type="paragraph" w:styleId="Heading2">
    <w:name w:val="Heading 2"/>
    <w:basedOn w:val="Normal"/>
    <w:next w:val="Normal"/>
    <w:qFormat/>
    <w:pPr>
      <w:spacing w:before="240" w:after="80"/>
      <w:outlineLvl w:val="1"/>
    </w:pPr>
    <w:rPr>
      <w:rFonts w:ascii="Arial" w:cs="Arial" w:eastAsia="Arial" w:hAnsi="Arial"/>
      <w:b/>
      <w:bCs/>
      <w:color w:val="1F3864"/>
      <w:sz w:val="24"/>
      <w:szCs w:val="24"/>
    </w:rPr>
  </w:style>
  <w:style w:type="paragraph" w:styleId="Heading3">
    <w:name w:val="Heading 3"/>
    <w:basedOn w:val="Normal"/>
    <w:next w:val="Normal"/>
    <w:qFormat/>
    <w:pPr>
      <w:spacing w:before="180" w:after="60"/>
      <w:outlineLvl w:val="2"/>
    </w:pPr>
    <w:rPr>
      <w:rFonts w:ascii="Arial" w:cs="Arial" w:eastAsia="Arial" w:hAnsi="Arial"/>
      <w:b/>
      <w:bCs/>
      <w:sz w:val="22"/>
      <w:szCs w:val="22"/>
    </w:rPr>
  </w:style>
  <w:style w:type="paragraph" w:styleId="WireWarning">
    <w:name w:val="Wire Warning"/>
    <w:basedOn w:val="Normal"/>
    <w:pPr>
      <w:pBdr>
        <w:top w:val="single" w:color="C00000" w:sz="4"/>
        <w:bottom w:val="single" w:color="C00000" w:sz="4"/>
        <w:right w:val="single" w:color="C00000" w:sz="4"/>
        <w:left w:val="thick" w:color="C00000" w:sz="12"/>
      </w:pBdr>
      <w:spacing w:before="120" w:after="120"/>
    </w:pPr>
    <w:rPr>
      <w:rFonts w:ascii="Arial" w:cs="Arial" w:eastAsia="Arial" w:hAnsi="Arial"/>
      <w:b/>
      <w:bCs/>
      <w:color w:val="C00000"/>
      <w:sz w:val="20"/>
      <w:szCs w:val="20"/>
    </w:rPr>
  </w:style>
  <w:style w:type="paragraph" w:styleId="FooterNote">
    <w:name w:val="Footer Note"/>
    <w:basedOn w:val="Normal"/>
    <w:pPr>
      <w:spacing w:before="0" w:after="0"/>
    </w:pPr>
    <w:rPr>
      <w:rFonts w:ascii="Arial" w:cs="Arial" w:eastAsia="Arial" w:hAnsi="Arial"/>
      <w:i/>
      <w:iCs/>
      <w:color w:val="666666"/>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2026-03-09T12:16:14.190Z</dcterms:created>
  <dcterms:modified xsi:type="dcterms:W3CDTF">2026-03-09T12:16:14.190Z</dcterms:modified>
</cp:coreProperties>
</file>

<file path=docProps/custom.xml><?xml version="1.0" encoding="utf-8"?>
<Properties xmlns="http://schemas.openxmlformats.org/officeDocument/2006/custom-properties" xmlns:vt="http://schemas.openxmlformats.org/officeDocument/2006/docPropsVTypes"/>
</file>