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600"/>
        <w:jc w:val="center"/>
      </w:pPr>
      <w:r>
        <w:t xml:space="preserve">Heart Disease Risk Prediction</w:t>
      </w:r>
    </w:p>
    <w:p>
      <w:pPr>
        <w:pStyle w:val="Heading1"/>
        <w:spacing w:after="400"/>
        <w:jc w:val="center"/>
      </w:pPr>
      <w:r>
        <w:t xml:space="preserve">An End-to-End MLOps Pipeline</w:t>
      </w:r>
    </w:p>
    <w:p>
      <w:pPr>
        <w:spacing w:after="160"/>
      </w:pPr>
      <w:r>
        <w:rPr>
          <w:sz w:val="22"/>
          <w:szCs w:val="22"/>
        </w:rPr>
        <w:t xml:space="preserve">Data acquisition → EDA → feature engineering → model training with MLflow tracking → automated testing → CI/CD → containerized FastAPI service → Kubernetes deployment → Prometheus/Grafana monitoring.</w:t>
      </w:r>
    </w:p>
    <w:p>
      <w:pPr>
        <w:spacing w:after="100" w:before="400"/>
      </w:pPr>
      <w:r>
        <w:rPr>
          <w:b/>
          <w:bCs/>
          <w:sz w:val="22"/>
          <w:szCs w:val="22"/>
        </w:rPr>
        <w:t xml:space="preserve">Repository: </w:t>
      </w:r>
      <w:r>
        <w:rPr>
          <w:color w:val="2E86AB"/>
          <w:sz w:val="22"/>
          <w:szCs w:val="22"/>
          <w:u w:val="single"/>
        </w:rPr>
        <w:t xml:space="preserve">https://github.com/ailearnharim-agent/mlops-e2e</w:t>
      </w:r>
    </w:p>
    <w:p>
      <w:pPr>
        <w:spacing w:after="160"/>
      </w:pPr>
      <w:r>
        <w:rPr>
          <w:i/>
          <w:iCs/>
          <w:color w:val="555555"/>
        </w:rPr>
        <w:t xml:space="preserve">MLOps Experimental Learning Assignment — Final Report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This project builds a binary classifier that predicts the presence of heart disease from patient clinical features, and wraps it in a production-style MLOps pipeline: reproducible data acquisition, exploratory data analysis, feature engineering, multi-model training with experiment tracking, automated testing, CI/CD, containerization, Kubernetes deployment, and monitoring. The modelling itself is intentionally simple (classical scikit-learn classifiers on a small tabular dataset) — the emphasis of this assignment is the pipeline and automation around the model, not squeezing out state-of-the-art accuracy.</w:t>
      </w:r>
    </w:p>
    <w:p>
      <w:pPr>
        <w:spacing w:after="160"/>
      </w:pPr>
      <w:r>
        <w:t xml:space="preserve">Personalization: rather than the widely-used 303-row Cleveland-only subset of the UCI Heart Disease dataset, this project combines all four original collection sites (Cleveland, Hungary, Switzerland, VA Long Beach — 920 rows), which has real, site-correlated missingness that the clean subset does not. This drove genuine preprocessing and EDA decisions rather than a token clean-data pass.</w:t>
      </w:r>
    </w:p>
    <w:p>
      <w:pPr>
        <w:pStyle w:val="Heading2"/>
        <w:spacing w:after="120" w:before="240"/>
      </w:pPr>
      <w:r>
        <w:t xml:space="preserve">What was verified end-to-end (not just written)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download, preprocessing, and training run from a clean checkout.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17 automated tests pass; ruff/black lint and format checks pass.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image built and run locally; /health and /predict verified with curl.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monitoring stack (API + Prometheus + Grafana) run via docker-compose, with live traffic populating a Grafana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Deployed to a real local Kubernetes cluster (minikube) via Helm: 2/2 pods Running, Service/Ingress/HPA created, /health and /predict verified through the cluster.</w:t>
      </w:r>
    </w:p>
    <w:p>
      <w:pPr>
        <w:pStyle w:val="Heading1"/>
        <w:spacing w:after="160" w:before="320"/>
      </w:pPr>
      <w:r>
        <w:t xml:space="preserve">2. Setup &amp; Installation</w:t>
      </w:r>
    </w:p>
    <w:p>
      <w:pPr>
        <w:spacing w:after="160"/>
      </w:pPr>
      <w:r>
        <w:t xml:space="preserve">All commands below run from a clean checkout with only Python 3.9 and pip available; no manually-downloaded files are required.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python3 -m venv .venv &amp;&amp; source .venv/bin/activate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requirements-dev.txt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python data/download_data.py            # -&gt; data/raw/heart_disease_raw.csv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python -m src.data.preprocess            # -&gt; data/processed/heart_disease_processed.csv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python -m src.models.train               # trains 3 models, logs to MLflow, saves models/model.pkl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Run the API locally: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uvicorn src.api.main:app --host 0.0.0.0 --port 8000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Run tests / lint (identical to what CI runs):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ruff check src tests data  &amp;&amp;  black --check src tests data  &amp;&amp;  pytest -v --cov=src</w:t>
      </w:r>
    </w:p>
    <w:p>
      <w:pPr>
        <w:pStyle w:val="Heading1"/>
        <w:spacing w:after="160" w:before="320"/>
      </w:pPr>
      <w:r>
        <w:t xml:space="preserve">3. Dataset &amp; Exploratory Data Analysis</w:t>
      </w:r>
    </w:p>
    <w:p>
      <w:pPr>
        <w:pStyle w:val="Heading2"/>
        <w:spacing w:after="120" w:before="240"/>
      </w:pPr>
      <w:r>
        <w:t xml:space="preserve">3.1 Dataset choice and acquisition</w:t>
      </w:r>
    </w:p>
    <w:p>
      <w:pPr>
        <w:spacing w:after="160"/>
      </w:pPr>
      <w:r>
        <w:t xml:space="preserve">Source: UCI Machine Learning Repository, “Heart Disease” dataset (id=45). data/download_data.py fetches the official ZIP archive (archive.ics.uci.edu) and concatenates all four processed site files — processed.cleveland.data, processed.hungarian.data, processed.switzerland.data, processed.va.data — into a single 920-row raw CSV. Target is binarized: the original 0-4 severity scale becomes 0 (no disease) vs. 1 (any disease present).</w:t>
      </w:r>
    </w:p>
    <w:p>
      <w:pPr>
        <w:spacing w:after="160"/>
      </w:pPr>
      <w:r>
        <w:t xml:space="preserve">14 columns: age, sex, cp, trestbps, chol, fbs, restecg, thalach, exang, oldpeak, slope, ca, thal, and the target.</w:t>
      </w:r>
    </w:p>
    <w:p>
      <w:pPr>
        <w:pStyle w:val="Heading2"/>
        <w:spacing w:after="120" w:before="240"/>
      </w:pPr>
      <w:r>
        <w:t xml:space="preserve">3.2 Missingness</w:t>
      </w:r>
    </w:p>
    <w:p>
      <w:pPr>
        <w:spacing w:after="160"/>
      </w:pPr>
      <w:r>
        <w:t xml:space="preserve">Because only Cleveland consistently recorded every field, three columns are substantially missing in the combined dataset: ca (66%), thal (53%), and slope (34%) — and the missingness is strongly correlated with collection site, not random. This is the key reason for choosing the combined dataset over the clean subset: it forces real handling of missing data instead of a token pass.</w:t>
      </w:r>
    </w:p>
    <w:p>
      <w:pPr>
        <w:spacing w:after="60"/>
        <w:jc w:val="center"/>
      </w:pPr>
      <w:r>
        <w:drawing>
          <wp:inline distT="0" distB="0" distL="0" distR="0">
            <wp:extent cx="409575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Missing data by feature across the combined 4-site dataset.</w:t>
      </w:r>
    </w:p>
    <w:p>
      <w:pPr>
        <w:spacing w:after="60"/>
        <w:jc w:val="center"/>
      </w:pPr>
      <w:r>
        <w:drawing>
          <wp:inline distT="0" distB="0" distL="0" distR="0">
            <wp:extent cx="4572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Binary target is reasonably balanced (~55% / 45%); no resampling needed.</w:t>
      </w:r>
    </w:p>
    <w:p>
      <w:pPr>
        <w:spacing w:after="60"/>
        <w:jc w:val="center"/>
      </w:pPr>
      <w:r>
        <w:drawing>
          <wp:inline distT="0" distB="0" distL="0" distR="0">
            <wp:extent cx="3810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Correlation heatmap — thalach negatively correlated with disease; oldpeak, exang, sex, age positively correlated, consistent with clinical literature.</w:t>
      </w:r>
    </w:p>
    <w:p>
      <w:pPr>
        <w:pageBreakBefore/>
      </w:pPr>
      <w:r>
        <w:br/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Numeric feature distributions split by target class.</w:t>
      </w:r>
    </w:p>
    <w:p>
      <w:pPr>
        <w:spacing w:after="160"/>
      </w:pPr>
      <w:r>
        <w:t xml:space="preserve">Full analysis with additional plots (boxplots, categorical breakdowns) is in notebooks/01_eda.ipynb, executed in-place so every output is viewable without rerunning.</w:t>
      </w:r>
    </w:p>
    <w:p>
      <w:pPr>
        <w:pStyle w:val="Heading1"/>
        <w:spacing w:after="160" w:before="320"/>
      </w:pPr>
      <w:r>
        <w:t xml:space="preserve">4. Feature Engineering &amp; Model Development</w:t>
      </w:r>
    </w:p>
    <w:p>
      <w:pPr>
        <w:pStyle w:val="Heading2"/>
        <w:spacing w:after="120" w:before="240"/>
      </w:pPr>
      <w:r>
        <w:t xml:space="preserve">4.1 Preprocessing pipeline</w:t>
      </w:r>
    </w:p>
    <w:p>
      <w:pPr>
        <w:spacing w:after="160"/>
      </w:pPr>
      <w:r>
        <w:t xml:space="preserve">Implemented as a scikit-learn ColumnTransformer (src/data/preprocess.py), composed into the model Pipeline and fit only on the training split to avoid leakage: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Numeric (age, trestbps, chol, thalach, oldpeak): median imputation + standard scaling.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Categorical (cp, restecg, slope, ca, thal): constant sentinel (-1) imputation + one-hot encoding — chosen over mode imputation because missingness here is large and site-correlated, so “not recorded” is itself informative rather than noise to be papered 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Binary (sex, fbs, exang): mode imputation, passed through as-is.</w:t>
      </w:r>
    </w:p>
    <w:p>
      <w:pPr>
        <w:pStyle w:val="Heading2"/>
        <w:spacing w:after="120" w:before="240"/>
      </w:pPr>
      <w:r>
        <w:t xml:space="preserve">4.2 Models &amp; tuning</w:t>
      </w:r>
    </w:p>
    <w:p>
      <w:pPr>
        <w:spacing w:after="160"/>
      </w:pPr>
      <w:r>
        <w:t xml:space="preserve">Three classifiers, each wrapped with the same preprocessing pipeline, tuned via GridSearchCV over RepeatedStratifiedKFold (5 splits × 2 repeats), scored on ROC-AUC: Logistic Regression, Random Forest, and HistGradientBoosting (a third model beyond the required two, chosen for a stronger comparison without an extra native-compiled dependency like XGBoost).</w:t>
      </w:r>
    </w:p>
    <w:p>
      <w:pPr>
        <w:spacing w:after="160"/>
      </w:pPr>
      <w:r>
        <w:t xml:space="preserve">Held-out test set results (20% stratified split, never touched by cross-validation):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000"/>
        <w:gridCol w:w="900"/>
        <w:gridCol w:w="1100"/>
        <w:gridCol w:w="1200"/>
      </w:tblGrid>
      <w:tr>
        <w:tc>
          <w:tcPr>
            <w:tcW w:type="dxa" w:w="2600"/>
            <w:shd w:fill="2E86A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shd w:fill="2E86A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200"/>
            <w:shd w:fill="2E86A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000"/>
            <w:shd w:fill="2E86A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900"/>
            <w:shd w:fill="2E86A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100"/>
            <w:shd w:fill="2E86A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200"/>
            <w:shd w:fill="2E86A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CV ROC-AUC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0.853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0.874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0.928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0.887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0.837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0.928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0.890</w:t>
            </w:r>
          </w:p>
        </w:tc>
      </w:tr>
      <w:tr>
        <w:tc>
          <w:tcPr>
            <w:tcW w:type="dxa" w:w="2600"/>
            <w:shd w:fill="FFF3E0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HistGradientBoosting (selected)</w:t>
            </w:r>
          </w:p>
        </w:tc>
        <w:tc>
          <w:tcPr>
            <w:tcW w:type="dxa" w:w="1200"/>
            <w:shd w:fill="FFF3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</w:t>
            </w:r>
          </w:p>
        </w:tc>
        <w:tc>
          <w:tcPr>
            <w:tcW w:type="dxa" w:w="1200"/>
            <w:shd w:fill="FFF3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0.845</w:t>
            </w:r>
          </w:p>
        </w:tc>
        <w:tc>
          <w:tcPr>
            <w:tcW w:type="dxa" w:w="1000"/>
            <w:shd w:fill="FFF3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0.912</w:t>
            </w:r>
          </w:p>
        </w:tc>
        <w:tc>
          <w:tcPr>
            <w:tcW w:type="dxa" w:w="900"/>
            <w:shd w:fill="FFF3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0.877</w:t>
            </w:r>
          </w:p>
        </w:tc>
        <w:tc>
          <w:tcPr>
            <w:tcW w:type="dxa" w:w="1100"/>
            <w:shd w:fill="FFF3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0.929</w:t>
            </w:r>
          </w:p>
        </w:tc>
        <w:tc>
          <w:tcPr>
            <w:tcW w:type="dxa" w:w="1200"/>
            <w:shd w:fill="FFF3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0.884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HistGradientBoosting was selected by best held-out ROC-AUC and refit on the full dataset with its tuned hyperparameters for the deployed artifact; the table above reports the honest held-out metrics, not the full-data refit (which has no held-out set by construction).</w:t>
      </w:r>
    </w:p>
    <w:p>
      <w:pPr>
        <w:pageBreakBefore/>
      </w:pPr>
      <w:r>
        <w:br/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4095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 Held-out ROC-AUC comparison across the three candidate models.</w:t>
      </w:r>
    </w:p>
    <w:p>
      <w:pPr>
        <w:spacing w:after="160"/>
      </w:pPr>
      <w:r>
        <w:rPr>
          <w:b/>
          <w:bCs/>
        </w:rPr>
        <w:t xml:space="preserve">Selected model diagnostics (HistGradientBoosting):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476500" cy="2124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476500" cy="2219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6. Confusion matrix and ROC curve for the selected (HistGradientBoosting) model on the held-out test set.</w:t>
      </w:r>
    </w:p>
    <w:p>
      <w:pPr>
        <w:pStyle w:val="Heading1"/>
        <w:spacing w:after="160" w:before="320"/>
      </w:pPr>
      <w:r>
        <w:t xml:space="preserve">5. Experiment Tracking (MLflow)</w:t>
      </w:r>
    </w:p>
    <w:p>
      <w:pPr>
        <w:spacing w:after="160"/>
      </w:pPr>
      <w:r>
        <w:t xml:space="preserve">Every GridSearchCV run (one per candidate model) and the final full-data refit are logged as separate MLflow runs under the heart-disease-classification experiment (local file store, mlruns/), each capturing: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Parameters: model type and the GridSearchCV-selected hyperparameters.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Metrics: CV best ROC-AUC and held-out test accuracy/precision/recall/F1/ROC-AUC.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Artifacts: confusion matrix, ROC curve, and precision-recall curve plots.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Model: the fitted end-to-end sklearn Pipeline via mlflow.sklearn.log_model, which also captures an inferred signature and conda environment for reproducibility.</w:t>
      </w:r>
    </w:p>
    <w:p>
      <w:pPr>
        <w:spacing w:after="160"/>
      </w:pPr>
      <w:r>
        <w:t xml:space="preserve">Browse locally with: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mlflow ui --backend-store-uri file:./mlruns</w:t>
      </w:r>
    </w:p>
    <w:p>
      <w:pPr>
        <w:pStyle w:val="Heading1"/>
        <w:spacing w:after="160" w:before="320"/>
      </w:pPr>
      <w:r>
        <w:t xml:space="preserve">6. Model Packaging &amp; Reproducibility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model saved twice: as an MLflow-logged Pipeline (mlruns/, includes signature + environment) and as a plain joblib pickle (models/model.pkl, checked into the repo) for a lightweight, MLflow-runtime-free load in the serving container.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requirements.txt (full/training), requirements-api.txt (minimal serving-only subset), and requirements-dev.txt (+ pytest/ruff/black/jupyter) are all pinned to exact versions.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preprocessing ColumnTransformer is part of the saved Pipeline object itself — there is no separate transformer to lose track of; loading models/model.pkl reproduces cleaning, imputation, encoding, and scaling identically to training time.</w:t>
      </w:r>
    </w:p>
    <w:p>
      <w:pPr>
        <w:pStyle w:val="Heading1"/>
        <w:spacing w:after="160" w:before="320"/>
      </w:pPr>
      <w:r>
        <w:t xml:space="preserve">7. CI/CD Pipeline &amp; Automated Testing</w:t>
      </w:r>
    </w:p>
    <w:p>
      <w:pPr>
        <w:pStyle w:val="Heading2"/>
        <w:spacing w:after="120" w:before="240"/>
      </w:pPr>
      <w:r>
        <w:t xml:space="preserve">7.1 Tests</w:t>
      </w:r>
    </w:p>
    <w:p>
      <w:pPr>
        <w:spacing w:after="160"/>
      </w:pPr>
      <w:r>
        <w:t xml:space="preserve">17 pytest tests across three files: preprocessing (no-NaN guarantees after transform, dedup, correct target binarization, columns that are entirely missing in a batch), training (pipeline fit/predict shapes, metric computation correctness), and the API (FastAPI TestClient — valid/partial/invalid payloads, correct status codes, /metrics exposition). A small 40-row fixture (tests/fixtures/sample_data.csv) keeps unit tests fast and network-free; the full download/train pipeline is exercised separately in CI.</w:t>
      </w:r>
    </w:p>
    <w:p>
      <w:pPr>
        <w:pStyle w:val="Heading2"/>
        <w:spacing w:after="120" w:before="240"/>
      </w:pPr>
      <w:r>
        <w:t xml:space="preserve">7.2 GitHub Actions (.github/workflows/ci-cd.yml)</w:t>
      </w:r>
    </w:p>
    <w:p>
      <w:pPr>
        <w:spacing w:after="160"/>
      </w:pPr>
      <w:r>
        <w:t xml:space="preserve">Three sequential jobs, each blocking the next — any lint/test/training/build failure fails the pipeline with no continue-on-error anywhere: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lint-and-test: ruff, black --check, pytest with coverage + JUnit XML artifacts.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train: downloads data, preprocesses, and trains all three models on the runner itself (not just replaying committed artifacts) — proving the pipeline is reproducible from a clean checkout. Uploads model.pkl, mlruns/, and comparison plots as workflow artifacts.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docker-build-test: builds the image using the freshly-trained model from the previous job, runs the container, polls /health, smoke-tests /predict with a sample payload, and (on push to main) pushes the image to GHCR.</w:t>
      </w:r>
    </w:p>
    <w:p>
      <w:pPr>
        <w:spacing w:after="160"/>
      </w:pPr>
      <w:r>
        <w:t xml:space="preserve">Confirmed green on GitHub itself (not just described) — run 29160899997, all 3 jobs succeeded:</w:t>
      </w:r>
    </w:p>
    <w:p>
      <w:pPr>
        <w:spacing w:after="60"/>
        <w:jc w:val="center"/>
      </w:pPr>
      <w:r>
        <w:drawing>
          <wp:inline distT="0" distB="0" distL="0" distR="0">
            <wp:extent cx="4381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7. GitHub Actions CI/CD run — lint-and-test, train, and docker-build-test all succeeded on a real push to main.</w:t>
      </w:r>
    </w:p>
    <w:p>
      <w:pPr>
        <w:pStyle w:val="Heading1"/>
        <w:spacing w:after="160" w:before="320"/>
      </w:pPr>
      <w:r>
        <w:t xml:space="preserve">8. Model Containerization</w:t>
      </w:r>
    </w:p>
    <w:p>
      <w:pPr>
        <w:spacing w:after="160"/>
      </w:pPr>
      <w:r>
        <w:t xml:space="preserve">docker/Dockerfile is a multi-stage build (python:3.9-slim): a builder stage installs the minimal requirements-api.txt into a venv, and the runtime stage copies just that venv + src/ + models/model.pkl, running as a non-root user with a container HEALTHCHECK. Verified locally end-to-end:</w:t>
      </w:r>
    </w:p>
    <w:p>
      <w:pPr>
        <w:spacing w:after="60"/>
        <w:jc w:val="center"/>
      </w:pPr>
      <w:r>
        <w:drawing>
          <wp:inline distT="0" distB="0" distL="0" distR="0">
            <wp:extent cx="4381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8. docker build + docker run, then /health and /predict curl proof against the running container.</w:t>
      </w:r>
    </w:p>
    <w:p>
      <w:pPr>
        <w:spacing w:after="160"/>
      </w:pPr>
      <w:r>
        <w:rPr>
          <w:i/>
          <w:iCs/>
          <w:sz w:val="18"/>
          <w:szCs w:val="18"/>
        </w:rPr>
        <w:t xml:space="preserve">Full logs: reports/screenshots/docker_build_run_proof.txt.</w:t>
      </w:r>
    </w:p>
    <w:p>
      <w:pPr>
        <w:pStyle w:val="Heading1"/>
        <w:spacing w:after="160" w:before="320"/>
      </w:pPr>
      <w:r>
        <w:t xml:space="preserve">9. Production Deployment (Kubernetes)</w:t>
      </w:r>
    </w:p>
    <w:p>
      <w:pPr>
        <w:spacing w:after="160"/>
      </w:pPr>
      <w:r>
        <w:t xml:space="preserve">Deployed to a real local Kubernetes cluster (minikube, docker driver) via the project's Helm chart (k8s/helm/heart-disease-api — raw manifests also provided under k8s/manifests/), run end-to-end via scripts/deploy_minikube.sh:</w:t>
      </w:r>
    </w:p>
    <w:p>
      <w:pPr>
        <w:spacing w:after="60"/>
        <w:jc w:val="center"/>
      </w:pPr>
      <w:r>
        <w:drawing>
          <wp:inline distT="0" distB="0" distL="0" distR="0">
            <wp:extent cx="38100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9. minikube status, 2/2 pods Running, Service/Ingress/HPA created, and /health + /predict verified through kubectl port-forward.</w:t>
      </w:r>
    </w:p>
    <w:p>
      <w:pPr>
        <w:spacing w:after="160"/>
      </w:pPr>
      <w:r>
        <w:rPr>
          <w:i/>
          <w:iCs/>
          <w:sz w:val="18"/>
          <w:szCs w:val="18"/>
        </w:rPr>
        <w:t xml:space="preserve">The Deployment carries readiness/liveness probes against /health and Prometheus scrape annotations; an HPA (2–5 replicas, 70% CPU target) and an nginx Ingress are also deployed. Full logs: reports/screenshots/kubernetes_deployment_proof.txt.</w:t>
      </w:r>
    </w:p>
    <w:p>
      <w:pPr>
        <w:pStyle w:val="Heading1"/>
        <w:spacing w:after="160" w:before="320"/>
      </w:pPr>
      <w:r>
        <w:t xml:space="preserve">10. Monitoring &amp; Logging</w:t>
      </w:r>
    </w:p>
    <w:p>
      <w:pPr>
        <w:spacing w:after="160"/>
      </w:pPr>
      <w:r>
        <w:t xml:space="preserve">docker/docker-compose.yml wires the API with Prometheus (scraping /metrics every 5s) and Grafana (auto-provisioned datasource + a dashboard covering request rate, p95 latency, prediction-class mix, and HTTP status codes). Verified locally with live traffic:</w:t>
      </w:r>
    </w:p>
    <w:p>
      <w:pPr>
        <w:spacing w:after="60"/>
        <w:jc w:val="center"/>
      </w:pPr>
      <w:r>
        <w:drawing>
          <wp:inline distT="0" distB="0" distL="0" distR="0">
            <wp:extent cx="4381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10. Prometheus target UP for heart-disease-api, and /metrics counters incrementing under live generated traffic.</w:t>
      </w:r>
    </w:p>
    <w:p>
      <w:pPr>
        <w:spacing w:after="160"/>
      </w:pPr>
      <w:r>
        <w:rPr>
          <w:i/>
          <w:iCs/>
          <w:sz w:val="18"/>
          <w:szCs w:val="18"/>
        </w:rPr>
        <w:t xml:space="preserve">Every request is also logged as a single structured JSON line to stdout (src/api/logging_config.py), which is how container/Kubernetes log aggregation would consume it in this project's scope — no separate log-shipping agent. Full proof log: reports/screenshots/monitoring_stack_proof.txt.</w:t>
      </w:r>
    </w:p>
    <w:p>
      <w:pPr>
        <w:pStyle w:val="Heading1"/>
        <w:spacing w:after="160" w:before="320"/>
      </w:pPr>
      <w:r>
        <w:t xml:space="preserve">11. Architecture</w:t>
      </w:r>
    </w:p>
    <w:p>
      <w:pPr>
        <w:spacing w:after="60"/>
        <w:jc w:val="center"/>
      </w:pPr>
      <w:r>
        <w:drawing>
          <wp:inline distT="0" distB="0" distL="0" distR="0">
            <wp:extent cx="5524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11. End-to-end architecture: data &amp; experiment tracking → testing &amp; CI/CD → Kubernetes deployment → monitoring &amp; logging.</w:t>
      </w:r>
    </w:p>
    <w:p>
      <w:pPr>
        <w:pStyle w:val="Heading1"/>
        <w:spacing w:after="160" w:before="320"/>
      </w:pPr>
      <w:r>
        <w:t xml:space="preserve">12. Conclusion &amp; Deliverables</w:t>
      </w:r>
    </w:p>
    <w:p>
      <w:pPr>
        <w:spacing w:after="160"/>
      </w:pPr>
      <w:r>
        <w:t xml:space="preserve">All assignment deliverables are present in the repository: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Code, Dockerfile(s), requirements.txt / requirements-api.txt / requirements-dev.txt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script (data/download_data.py) — no manually-shipped raw dataset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Notebooks/scripts for EDA (notebooks/01_eda.ipynb), training (src/models/train.py), and inference (src/models/predict.py)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tests/ with 17 automated unit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Actions workflow (.github/workflows/ci-cd.yml)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manifests (k8s/manifests/) and a Helm chart (k8s/helm/heart-disease-api/)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Screenshot/proof folder (reports/screenshots/)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report (reports/MLOps_Heart_Disease_Report.docx) and a video walkthrough script (VIDEO_SCRIPT.md)</w:t>
      </w:r>
    </w:p>
    <w:p>
      <w:pPr>
        <w:spacing w:after="160"/>
      </w:pPr>
      <w:r>
        <w:rPr>
          <w:b/>
          <w:bCs/>
        </w:rPr>
        <w:t xml:space="preserve">Repository: </w:t>
      </w:r>
      <w:r>
        <w:rPr>
          <w:color w:val="2E86AB"/>
          <w:u w:val="single"/>
        </w:rPr>
        <w:t xml:space="preserve">https://github.com/ailearnharim-agent/mlops-e2e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5f280ca67546757ac89635c16b91f04e7cad9b.png"/><Relationship Id="rId8" Type="http://schemas.openxmlformats.org/officeDocument/2006/relationships/image" Target="media/61d9d618d26d07ddad1734939dcd8f73510c65ac.png"/><Relationship Id="rId9" Type="http://schemas.openxmlformats.org/officeDocument/2006/relationships/image" Target="media/53a927a4e62ff09177df03e0f32b516d4d0b8d97.png"/><Relationship Id="rId10" Type="http://schemas.openxmlformats.org/officeDocument/2006/relationships/image" Target="media/ae8e1ca8cd2bb4bd80fdb075ffcdf7e46634f503.png"/><Relationship Id="rId11" Type="http://schemas.openxmlformats.org/officeDocument/2006/relationships/image" Target="media/41532765e974f9909f130820f5e6a1cb6c39fdc0.png"/><Relationship Id="rId12" Type="http://schemas.openxmlformats.org/officeDocument/2006/relationships/image" Target="media/a0b3558167d3b0225742b1d4bcc4dfb8839e1a63.png"/><Relationship Id="rId13" Type="http://schemas.openxmlformats.org/officeDocument/2006/relationships/image" Target="media/11d5b0d95456d129c501356c6547b7e4b47dfdf8.png"/><Relationship Id="rId14" Type="http://schemas.openxmlformats.org/officeDocument/2006/relationships/image" Target="media/2c07a60ed3bbf68cfa4b431a44f175b28a2e6acd.png"/><Relationship Id="rId15" Type="http://schemas.openxmlformats.org/officeDocument/2006/relationships/image" Target="media/7f0029732e9de09a083cd0bfcd9e1f0faa8499d2.png"/><Relationship Id="rId16" Type="http://schemas.openxmlformats.org/officeDocument/2006/relationships/image" Target="media/7a075758f00eb7007d6848fbe049784d84d75381.png"/><Relationship Id="rId17" Type="http://schemas.openxmlformats.org/officeDocument/2006/relationships/image" Target="media/fbd9771eef973bebea1953e6fb09008385aa9336.png"/><Relationship Id="rId18" Type="http://schemas.openxmlformats.org/officeDocument/2006/relationships/image" Target="media/a74f84fb08d2d3628389536b48b1ba4a1cf7811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2026-07-12T17:32:03.437Z</dcterms:created>
  <dcterms:modified xsi:type="dcterms:W3CDTF">2026-07-12T17:32:03.437Z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