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F896" w14:textId="77777777" w:rsidR="00A741D0" w:rsidRDefault="009A121D" w:rsidP="00165DD4">
      <w:pPr>
        <w:spacing w:line="420" w:lineRule="auto"/>
        <w:jc w:val="center"/>
        <w:rPr>
          <w:rFonts w:ascii="新細明體" w:eastAsia="新細明體" w:hAnsi="新細明體"/>
          <w:b/>
          <w:sz w:val="28"/>
          <w:szCs w:val="28"/>
        </w:rPr>
      </w:pPr>
      <w:r w:rsidRPr="008868CD">
        <w:rPr>
          <w:rFonts w:ascii="新細明體" w:eastAsia="新細明體" w:hAnsi="新細明體" w:hint="eastAsia"/>
          <w:b/>
          <w:sz w:val="28"/>
          <w:szCs w:val="28"/>
        </w:rPr>
        <w:t>中國文學文化、澳門文化(初一第</w:t>
      </w:r>
      <w:r w:rsidR="00880C05">
        <w:rPr>
          <w:rFonts w:ascii="新細明體" w:eastAsia="新細明體" w:hAnsi="新細明體" w:hint="eastAsia"/>
          <w:b/>
          <w:sz w:val="28"/>
          <w:szCs w:val="28"/>
        </w:rPr>
        <w:t>二</w:t>
      </w:r>
      <w:r w:rsidRPr="008868CD">
        <w:rPr>
          <w:rFonts w:ascii="新細明體" w:eastAsia="新細明體" w:hAnsi="新細明體" w:hint="eastAsia"/>
          <w:b/>
          <w:sz w:val="28"/>
          <w:szCs w:val="28"/>
        </w:rPr>
        <w:t>段)</w:t>
      </w:r>
    </w:p>
    <w:p w14:paraId="136D59E7" w14:textId="77777777" w:rsidR="00775C61" w:rsidRPr="008868CD" w:rsidRDefault="00775C61" w:rsidP="00165DD4">
      <w:pPr>
        <w:spacing w:line="420" w:lineRule="auto"/>
        <w:jc w:val="center"/>
        <w:rPr>
          <w:rFonts w:ascii="新細明體" w:eastAsia="新細明體" w:hAnsi="新細明體"/>
          <w:b/>
          <w:sz w:val="28"/>
          <w:szCs w:val="28"/>
        </w:rPr>
      </w:pPr>
    </w:p>
    <w:p w14:paraId="651EAA5D" w14:textId="77777777" w:rsidR="00880C05" w:rsidRPr="009F6B67" w:rsidRDefault="00880C05" w:rsidP="00165DD4">
      <w:pPr>
        <w:spacing w:line="420" w:lineRule="auto"/>
        <w:rPr>
          <w:rFonts w:ascii="新細明體" w:eastAsia="新細明體" w:hAnsi="新細明體"/>
          <w:b/>
        </w:rPr>
      </w:pPr>
      <w:r w:rsidRPr="009F6B67">
        <w:rPr>
          <w:rFonts w:ascii="新細明體" w:eastAsia="新細明體" w:hAnsi="新細明體" w:hint="eastAsia"/>
          <w:b/>
        </w:rPr>
        <w:t>古代作品</w:t>
      </w:r>
    </w:p>
    <w:p w14:paraId="647A9B82" w14:textId="77777777" w:rsidR="0010417E" w:rsidRPr="009F6B67" w:rsidRDefault="009F6B67" w:rsidP="00165DD4">
      <w:pPr>
        <w:pBdr>
          <w:top w:val="nil"/>
          <w:left w:val="nil"/>
          <w:bottom w:val="nil"/>
          <w:right w:val="nil"/>
          <w:between w:val="nil"/>
        </w:pBdr>
        <w:spacing w:line="42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color w:val="000000"/>
        </w:rPr>
        <w:t>1</w:t>
      </w:r>
      <w:r>
        <w:rPr>
          <w:rFonts w:asciiTheme="minorEastAsia" w:hAnsiTheme="minorEastAsia"/>
          <w:color w:val="000000"/>
        </w:rPr>
        <w:t xml:space="preserve">. </w:t>
      </w:r>
      <w:r w:rsidR="0010417E" w:rsidRPr="009F6B67">
        <w:rPr>
          <w:rFonts w:asciiTheme="minorEastAsia" w:hAnsiTheme="minorEastAsia"/>
          <w:color w:val="000000"/>
        </w:rPr>
        <w:t>《尚書》是我國現存最早的記言體史書，是關於上古時代的政事史料彙編。</w:t>
      </w:r>
    </w:p>
    <w:p w14:paraId="4EACAF61" w14:textId="77777777" w:rsidR="00A37EA4" w:rsidRPr="009F6B67" w:rsidRDefault="009F6B67" w:rsidP="00165DD4">
      <w:pPr>
        <w:pBdr>
          <w:top w:val="nil"/>
          <w:left w:val="nil"/>
          <w:bottom w:val="nil"/>
          <w:right w:val="nil"/>
          <w:between w:val="nil"/>
        </w:pBdr>
        <w:spacing w:line="420" w:lineRule="auto"/>
        <w:ind w:left="240" w:hangingChars="100" w:hanging="240"/>
        <w:rPr>
          <w:rFonts w:asciiTheme="minorEastAsia" w:hAnsiTheme="minorEastAsia"/>
        </w:rPr>
      </w:pPr>
      <w:r>
        <w:rPr>
          <w:rFonts w:asciiTheme="minorEastAsia" w:hAnsiTheme="minorEastAsia" w:hint="eastAsia"/>
          <w:color w:val="000000"/>
        </w:rPr>
        <w:t>2</w:t>
      </w:r>
      <w:r>
        <w:rPr>
          <w:rFonts w:asciiTheme="minorEastAsia" w:hAnsiTheme="minorEastAsia"/>
          <w:color w:val="000000"/>
        </w:rPr>
        <w:t xml:space="preserve">. </w:t>
      </w:r>
      <w:r w:rsidR="0010417E" w:rsidRPr="009F6B67">
        <w:rPr>
          <w:rFonts w:asciiTheme="minorEastAsia" w:hAnsiTheme="minorEastAsia"/>
          <w:color w:val="000000"/>
        </w:rPr>
        <w:t>《詩經》是中國最早的詩歌總集，收錄自西周初年至春秋中葉（約前11世紀--前6世紀）的詩歌305篇。</w:t>
      </w:r>
    </w:p>
    <w:p w14:paraId="51D0FE52" w14:textId="77777777" w:rsidR="0010417E" w:rsidRPr="009F6B67" w:rsidRDefault="009F6B67" w:rsidP="00165DD4">
      <w:pPr>
        <w:pBdr>
          <w:top w:val="nil"/>
          <w:left w:val="nil"/>
          <w:bottom w:val="nil"/>
          <w:right w:val="nil"/>
          <w:between w:val="nil"/>
        </w:pBdr>
        <w:spacing w:line="420" w:lineRule="auto"/>
        <w:ind w:left="240" w:hangingChars="100" w:hanging="240"/>
        <w:rPr>
          <w:rFonts w:asciiTheme="minorEastAsia" w:hAnsiTheme="minorEastAsia"/>
        </w:rPr>
      </w:pPr>
      <w:r>
        <w:rPr>
          <w:rFonts w:asciiTheme="minorEastAsia" w:hAnsiTheme="minorEastAsia" w:hint="eastAsia"/>
          <w:color w:val="000000"/>
        </w:rPr>
        <w:t>3</w:t>
      </w:r>
      <w:r>
        <w:rPr>
          <w:rFonts w:asciiTheme="minorEastAsia" w:hAnsiTheme="minorEastAsia"/>
          <w:color w:val="000000"/>
        </w:rPr>
        <w:t xml:space="preserve">. </w:t>
      </w:r>
      <w:r w:rsidR="00A37EA4" w:rsidRPr="009F6B67">
        <w:rPr>
          <w:rFonts w:asciiTheme="minorEastAsia" w:hAnsiTheme="minorEastAsia"/>
          <w:color w:val="000000"/>
        </w:rPr>
        <w:t>《</w:t>
      </w:r>
      <w:r w:rsidR="0010417E" w:rsidRPr="009F6B67">
        <w:rPr>
          <w:rFonts w:asciiTheme="minorEastAsia" w:hAnsiTheme="minorEastAsia"/>
          <w:color w:val="000000"/>
        </w:rPr>
        <w:t>楚辭</w:t>
      </w:r>
      <w:r w:rsidR="00A37EA4" w:rsidRPr="009F6B67">
        <w:rPr>
          <w:rFonts w:asciiTheme="minorEastAsia" w:hAnsiTheme="minorEastAsia"/>
          <w:color w:val="000000"/>
        </w:rPr>
        <w:t>》</w:t>
      </w:r>
      <w:r w:rsidR="0010417E" w:rsidRPr="009F6B67">
        <w:rPr>
          <w:rFonts w:asciiTheme="minorEastAsia" w:hAnsiTheme="minorEastAsia"/>
          <w:color w:val="000000"/>
        </w:rPr>
        <w:t>也被稱為騷體、楚辭體，是以屈原為代表的戰國楚國詩人所創作的一種文體。</w:t>
      </w:r>
      <w:r w:rsidR="00A37EA4" w:rsidRPr="009F6B67">
        <w:rPr>
          <w:rFonts w:asciiTheme="minorEastAsia" w:hAnsiTheme="minorEastAsia" w:hint="eastAsia"/>
          <w:color w:val="000000"/>
        </w:rPr>
        <w:t xml:space="preserve"> </w:t>
      </w:r>
      <w:r w:rsidR="00A37EA4" w:rsidRPr="009F6B67">
        <w:rPr>
          <w:rFonts w:asciiTheme="minorEastAsia" w:hAnsiTheme="minorEastAsia"/>
          <w:color w:val="000000"/>
        </w:rPr>
        <w:t xml:space="preserve"> </w:t>
      </w:r>
    </w:p>
    <w:p w14:paraId="59B960B6" w14:textId="77777777" w:rsidR="0010417E" w:rsidRPr="009F6B67" w:rsidRDefault="009F6B67" w:rsidP="00165DD4">
      <w:pPr>
        <w:pBdr>
          <w:top w:val="nil"/>
          <w:left w:val="nil"/>
          <w:bottom w:val="nil"/>
          <w:right w:val="nil"/>
          <w:between w:val="nil"/>
        </w:pBdr>
        <w:spacing w:line="420" w:lineRule="auto"/>
        <w:ind w:left="240" w:hangingChars="100" w:hanging="240"/>
        <w:rPr>
          <w:rFonts w:asciiTheme="minorEastAsia" w:hAnsiTheme="minorEastAsia"/>
        </w:rPr>
      </w:pPr>
      <w:r>
        <w:rPr>
          <w:rFonts w:asciiTheme="minorEastAsia" w:hAnsiTheme="minorEastAsia"/>
          <w:color w:val="000000"/>
        </w:rPr>
        <w:t xml:space="preserve">4. </w:t>
      </w:r>
      <w:r w:rsidR="0010417E" w:rsidRPr="009F6B67">
        <w:rPr>
          <w:rFonts w:asciiTheme="minorEastAsia" w:hAnsiTheme="minorEastAsia"/>
          <w:color w:val="000000"/>
        </w:rPr>
        <w:t>《春秋》是我國最早的編年體史書，傳為孔子所作。“春秋”一詞，本是東周列國史官所撰編年史的通稱。</w:t>
      </w:r>
    </w:p>
    <w:p w14:paraId="37C0068D" w14:textId="77777777" w:rsidR="0010417E" w:rsidRPr="009F6B67" w:rsidRDefault="009F6B67" w:rsidP="00165DD4">
      <w:pPr>
        <w:pBdr>
          <w:top w:val="nil"/>
          <w:left w:val="nil"/>
          <w:bottom w:val="nil"/>
          <w:right w:val="nil"/>
          <w:between w:val="nil"/>
        </w:pBdr>
        <w:spacing w:line="420" w:lineRule="auto"/>
        <w:ind w:left="240" w:hangingChars="100" w:hanging="240"/>
        <w:rPr>
          <w:rFonts w:asciiTheme="minorEastAsia" w:hAnsiTheme="minorEastAsia"/>
        </w:rPr>
      </w:pPr>
      <w:r>
        <w:rPr>
          <w:rFonts w:asciiTheme="minorEastAsia" w:hAnsiTheme="minorEastAsia" w:hint="eastAsia"/>
          <w:color w:val="000000"/>
        </w:rPr>
        <w:t>5</w:t>
      </w:r>
      <w:r>
        <w:rPr>
          <w:rFonts w:asciiTheme="minorEastAsia" w:hAnsiTheme="minorEastAsia"/>
          <w:color w:val="000000"/>
        </w:rPr>
        <w:t xml:space="preserve">. </w:t>
      </w:r>
      <w:r w:rsidR="0010417E" w:rsidRPr="009F6B67">
        <w:rPr>
          <w:rFonts w:asciiTheme="minorEastAsia" w:hAnsiTheme="minorEastAsia"/>
          <w:color w:val="000000"/>
        </w:rPr>
        <w:t>《左傳》，全稱《春秋左氏傳》，原名《左氏春秋》，是中國古代第一部敘事完備的編年體史書，更是先秦散文著作的代表。</w:t>
      </w:r>
    </w:p>
    <w:p w14:paraId="5CC8204B" w14:textId="77777777" w:rsidR="00A37EA4" w:rsidRPr="009F6B67" w:rsidRDefault="00A37EA4" w:rsidP="00165DD4">
      <w:pPr>
        <w:pStyle w:val="Default"/>
        <w:spacing w:line="420" w:lineRule="auto"/>
        <w:ind w:left="240" w:hangingChars="100" w:hanging="240"/>
      </w:pPr>
      <w:r w:rsidRPr="009F6B67">
        <w:rPr>
          <w:rFonts w:hint="eastAsia"/>
        </w:rPr>
        <w:t>6</w:t>
      </w:r>
      <w:r w:rsidR="009F6B67">
        <w:t xml:space="preserve">. </w:t>
      </w:r>
      <w:r w:rsidRPr="009F6B67">
        <w:rPr>
          <w:rFonts w:hint="eastAsia"/>
        </w:rPr>
        <w:t>《史記》，是我國第一部紀傳體通史。魯迅稱讚《史記》</w:t>
      </w:r>
      <w:r w:rsidR="009F6B67" w:rsidRPr="009F6B67">
        <w:t>「</w:t>
      </w:r>
      <w:r w:rsidRPr="009F6B67">
        <w:rPr>
          <w:rFonts w:hint="eastAsia"/>
        </w:rPr>
        <w:t>史家之絕唱，無韻之離騷。</w:t>
      </w:r>
      <w:r w:rsidR="009F6B67" w:rsidRPr="009F6B67">
        <w:t>」</w:t>
      </w:r>
      <w:r w:rsidRPr="009F6B67">
        <w:rPr>
          <w:rFonts w:hint="eastAsia"/>
        </w:rPr>
        <w:t>作者司馬遷，西漢史學家、文學家。</w:t>
      </w:r>
      <w:r w:rsidRPr="009F6B67">
        <w:t xml:space="preserve"> </w:t>
      </w:r>
    </w:p>
    <w:p w14:paraId="048BCB9F" w14:textId="7CC0623E" w:rsidR="009F6B67" w:rsidRPr="009F6B67" w:rsidRDefault="009F6B67" w:rsidP="00165DD4">
      <w:pPr>
        <w:pStyle w:val="Default"/>
        <w:spacing w:line="420" w:lineRule="auto"/>
        <w:ind w:left="240" w:hangingChars="100" w:hanging="240"/>
      </w:pPr>
      <w:r>
        <w:t xml:space="preserve">7. </w:t>
      </w:r>
      <w:r w:rsidRPr="009F6B67">
        <w:rPr>
          <w:rFonts w:hint="eastAsia"/>
        </w:rPr>
        <w:t>《戰國策》，西漢末年劉向編訂的一部國別體史書</w:t>
      </w:r>
      <w:r w:rsidR="00822B85">
        <w:rPr>
          <w:rFonts w:hint="eastAsia"/>
        </w:rPr>
        <w:t>，</w:t>
      </w:r>
      <w:r w:rsidRPr="009F6B67">
        <w:rPr>
          <w:rFonts w:hint="eastAsia"/>
        </w:rPr>
        <w:t>著名篇目有《鄒忌諷齊王納諫》。</w:t>
      </w:r>
      <w:r w:rsidRPr="009F6B67">
        <w:t xml:space="preserve"> </w:t>
      </w:r>
    </w:p>
    <w:p w14:paraId="020F353C" w14:textId="77777777" w:rsidR="00165DD4" w:rsidRPr="00165DD4" w:rsidRDefault="009F6B67" w:rsidP="00165DD4">
      <w:pPr>
        <w:pStyle w:val="Default"/>
        <w:spacing w:line="420" w:lineRule="auto"/>
      </w:pPr>
      <w:r w:rsidRPr="009F6B67">
        <w:t xml:space="preserve">8. </w:t>
      </w:r>
      <w:r w:rsidRPr="009F6B67">
        <w:rPr>
          <w:rFonts w:hint="eastAsia"/>
        </w:rPr>
        <w:t>《世說新語》，是我國第一部志人小說集，作者劉義慶。</w:t>
      </w:r>
      <w:r w:rsidRPr="009F6B67">
        <w:t xml:space="preserve"> </w:t>
      </w:r>
    </w:p>
    <w:p w14:paraId="1C79E131" w14:textId="77777777" w:rsidR="00165DD4" w:rsidRDefault="00165DD4" w:rsidP="00165DD4">
      <w:pPr>
        <w:spacing w:line="420" w:lineRule="auto"/>
        <w:rPr>
          <w:rFonts w:ascii="新細明體" w:eastAsia="新細明體" w:hAnsi="新細明體"/>
          <w:b/>
        </w:rPr>
      </w:pPr>
    </w:p>
    <w:p w14:paraId="0AC0D698" w14:textId="77777777" w:rsidR="00165DD4" w:rsidRDefault="00165DD4" w:rsidP="00165DD4">
      <w:pPr>
        <w:spacing w:line="420" w:lineRule="auto"/>
        <w:rPr>
          <w:rFonts w:ascii="新細明體" w:eastAsia="新細明體" w:hAnsi="新細明體"/>
          <w:b/>
        </w:rPr>
      </w:pPr>
    </w:p>
    <w:p w14:paraId="22F53BC5" w14:textId="77777777" w:rsidR="00165DD4" w:rsidRDefault="00165DD4" w:rsidP="00165DD4">
      <w:pPr>
        <w:spacing w:line="420" w:lineRule="auto"/>
        <w:rPr>
          <w:rFonts w:ascii="新細明體" w:eastAsia="新細明體" w:hAnsi="新細明體"/>
          <w:b/>
        </w:rPr>
      </w:pPr>
    </w:p>
    <w:p w14:paraId="3502B109" w14:textId="77777777" w:rsidR="009A121D" w:rsidRPr="008868CD" w:rsidRDefault="0010417E" w:rsidP="00165DD4">
      <w:pPr>
        <w:spacing w:line="420" w:lineRule="auto"/>
        <w:rPr>
          <w:rFonts w:ascii="新細明體" w:eastAsia="新細明體" w:hAnsi="新細明體"/>
          <w:b/>
        </w:rPr>
      </w:pPr>
      <w:r w:rsidRPr="0010417E">
        <w:rPr>
          <w:rFonts w:ascii="新細明體" w:eastAsia="新細明體" w:hAnsi="新細明體" w:hint="eastAsia"/>
          <w:b/>
        </w:rPr>
        <w:t>澳門世遺</w:t>
      </w:r>
    </w:p>
    <w:p w14:paraId="434E7026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1.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世界遺產是指根據《保護世界文化和自然遺產公約》，經聯合國教科文組織世界遺產委員會審核、批准而被列入《世界遺產名錄》的各種遺產。</w:t>
      </w:r>
    </w:p>
    <w:p w14:paraId="33313F64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2.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澳門歷史城區是一片以澳門舊城區為核心的歷史街區，包括20多座歷史建築，並由相鄰的廣場和街道連接而成，於2005年獲列入世界文化遺產名錄。</w:t>
      </w:r>
    </w:p>
    <w:p w14:paraId="0359B427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lastRenderedPageBreak/>
        <w:t>3.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媽閣廟是澳門現存廟宇中有實物可考的最古老的廟宇，也是澳門文物中原建築物保存至今時間最長的。媽閣廟有許多摩崖石刻，均為歷代官宦名士的詩詞題字，是研究澳門歷史文化的重要資料。</w:t>
      </w:r>
    </w:p>
    <w:p w14:paraId="2360E0F6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4.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鄭家大屋是中國近代著名思想家鄭觀應的故居，是一院落式大宅。建築雖主要以中國形制構建，但卻處處體現中西結合之特色。</w:t>
      </w:r>
    </w:p>
    <w:p w14:paraId="56A2F7F6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5.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議事亭前地，本地居民又稱此地為「噴水池」。前地一帶鋪設黑白色碎石地面，並砌成波浪形圖案，襯托周圍顏色鮮艷的文物建築，互相輝映，使前地一帶顯出濃濃的南歐風情。</w:t>
      </w:r>
    </w:p>
    <w:p w14:paraId="450F73DB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6.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盧家大屋是澳門著名商人盧華紹（盧九）家族的舊居。盧家大屋是用厚青磚建造的中式兩層建築，是典型的中式大宅，也是晚清時期粵中民居溫婉纖細建築風格的典型。</w:t>
      </w:r>
    </w:p>
    <w:p w14:paraId="7CDC6A14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7.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大三巴牌坊是天主之母教堂（即聖保祿教堂）正面前壁的遺址。1835年一場大火燒毀了聖保祿學院及其附屬的教堂，僅剩下教堂的正面前壁、大部分地基以及教堂前的石階。本地人因教堂前壁形似中國傳統牌坊，將之稱為大三巴牌坊。</w:t>
      </w:r>
    </w:p>
    <w:p w14:paraId="2EDE7315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8.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東望洋炮台位於澳門半島最高峰東望洋山之巔，俯瞰整個半島，炮台上建有一燈塔及小教堂。東望洋燈塔是中國海岸第一座現代燈塔，燈塔側的小教堂名為聖母雪地殿。</w:t>
      </w:r>
    </w:p>
    <w:p w14:paraId="26F1C32C" w14:textId="77777777" w:rsidR="00165DD4" w:rsidRPr="00165DD4" w:rsidRDefault="00165DD4" w:rsidP="00165DD4">
      <w:pPr>
        <w:spacing w:line="420" w:lineRule="auto"/>
        <w:ind w:left="240" w:hangingChars="100" w:hanging="240"/>
        <w:rPr>
          <w:rFonts w:ascii="新細明體" w:eastAsia="新細明體" w:hAnsi="新細明體"/>
          <w:color w:val="000000" w:themeColor="text1"/>
        </w:rPr>
      </w:pPr>
      <w:r w:rsidRPr="00165DD4">
        <w:rPr>
          <w:rFonts w:ascii="新細明體" w:eastAsia="新細明體" w:hAnsi="新細明體" w:hint="eastAsia"/>
          <w:color w:val="000000" w:themeColor="text1"/>
        </w:rPr>
        <w:t>9.</w:t>
      </w:r>
      <w:r w:rsidRPr="00165DD4">
        <w:rPr>
          <w:rFonts w:ascii="新細明體" w:eastAsia="新細明體" w:hAnsi="新細明體" w:hint="eastAsia"/>
          <w:color w:val="000000" w:themeColor="text1"/>
        </w:rPr>
        <w:tab/>
        <w:t>哪吒廟位於大三巴牌坊後右側，該廟供奉的哪吒，是一個神話人物，為托塔天王李靖的第三子，像個小孩，神通廣大。從17世紀後期開始受澳門民間供奉，這種廟不多，是澳門本地富有地方色彩的民間信仰。</w:t>
      </w:r>
    </w:p>
    <w:p w14:paraId="23D940F5" w14:textId="77777777" w:rsidR="00A741D0" w:rsidRPr="00C77C35" w:rsidRDefault="00165DD4" w:rsidP="00165DD4">
      <w:pPr>
        <w:spacing w:line="420" w:lineRule="auto"/>
        <w:ind w:left="240" w:hangingChars="100" w:hanging="240"/>
        <w:rPr>
          <w:rFonts w:asciiTheme="minorEastAsia" w:hAnsiTheme="minorEastAsia"/>
          <w:b/>
          <w:sz w:val="28"/>
          <w:szCs w:val="28"/>
        </w:rPr>
      </w:pPr>
      <w:r>
        <w:rPr>
          <w:rFonts w:ascii="新細明體" w:eastAsia="新細明體" w:hAnsi="新細明體" w:hint="eastAsia"/>
          <w:color w:val="000000" w:themeColor="text1"/>
        </w:rPr>
        <w:t>10.</w:t>
      </w:r>
      <w:r w:rsidRPr="00165DD4">
        <w:rPr>
          <w:rFonts w:ascii="新細明體" w:eastAsia="新細明體" w:hAnsi="新細明體" w:hint="eastAsia"/>
          <w:color w:val="000000" w:themeColor="text1"/>
        </w:rPr>
        <w:t>何東圖書館大樓原主人為官也夫人（D. Carolina Cunha），香港富商何東爵士於1918 年購入該大樓；二次大戰日軍佔據香港期間，何爵士曾在此定居。何東爵士逝世，其後人據他生前遺囑，將大樓及二萬五千圓港幣贈予澳門政府，作開設公共圖書館及購買圖書之用；至1958 年，圖書館正式對外開放。</w:t>
      </w:r>
    </w:p>
    <w:sectPr w:rsidR="00A741D0" w:rsidRPr="00C77C35">
      <w:pgSz w:w="11906" w:h="16838"/>
      <w:pgMar w:top="1440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C4A2" w14:textId="77777777" w:rsidR="00575660" w:rsidRDefault="00575660" w:rsidP="00C77C35">
      <w:r>
        <w:separator/>
      </w:r>
    </w:p>
  </w:endnote>
  <w:endnote w:type="continuationSeparator" w:id="0">
    <w:p w14:paraId="2F64585A" w14:textId="77777777" w:rsidR="00575660" w:rsidRDefault="00575660" w:rsidP="00C77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﷽﷽﷽﷽﷽﷽﷽﷽ீ{怀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1306" w14:textId="77777777" w:rsidR="00575660" w:rsidRDefault="00575660" w:rsidP="00C77C35">
      <w:r>
        <w:separator/>
      </w:r>
    </w:p>
  </w:footnote>
  <w:footnote w:type="continuationSeparator" w:id="0">
    <w:p w14:paraId="64ED5237" w14:textId="77777777" w:rsidR="00575660" w:rsidRDefault="00575660" w:rsidP="00C77C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285A"/>
    <w:multiLevelType w:val="multilevel"/>
    <w:tmpl w:val="6A6E64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204DB6"/>
    <w:multiLevelType w:val="multilevel"/>
    <w:tmpl w:val="0150C6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A31B39"/>
    <w:multiLevelType w:val="multilevel"/>
    <w:tmpl w:val="0C64CF7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4147DE"/>
    <w:multiLevelType w:val="hybridMultilevel"/>
    <w:tmpl w:val="C26EAE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3556E5"/>
    <w:multiLevelType w:val="multilevel"/>
    <w:tmpl w:val="C3F08336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E770299"/>
    <w:multiLevelType w:val="multilevel"/>
    <w:tmpl w:val="B9EABC26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0C42502"/>
    <w:multiLevelType w:val="hybridMultilevel"/>
    <w:tmpl w:val="F7A65C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544F97"/>
    <w:multiLevelType w:val="multilevel"/>
    <w:tmpl w:val="54CC8CA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901913073">
    <w:abstractNumId w:val="5"/>
  </w:num>
  <w:num w:numId="2" w16cid:durableId="891309389">
    <w:abstractNumId w:val="4"/>
  </w:num>
  <w:num w:numId="3" w16cid:durableId="469709715">
    <w:abstractNumId w:val="1"/>
  </w:num>
  <w:num w:numId="4" w16cid:durableId="2073304803">
    <w:abstractNumId w:val="0"/>
  </w:num>
  <w:num w:numId="5" w16cid:durableId="1716806121">
    <w:abstractNumId w:val="2"/>
  </w:num>
  <w:num w:numId="6" w16cid:durableId="1520239971">
    <w:abstractNumId w:val="7"/>
  </w:num>
  <w:num w:numId="7" w16cid:durableId="1263801166">
    <w:abstractNumId w:val="3"/>
  </w:num>
  <w:num w:numId="8" w16cid:durableId="287589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1D0"/>
    <w:rsid w:val="000D256B"/>
    <w:rsid w:val="0010417E"/>
    <w:rsid w:val="001445F5"/>
    <w:rsid w:val="00165DD4"/>
    <w:rsid w:val="001C3AFC"/>
    <w:rsid w:val="00361F21"/>
    <w:rsid w:val="00416C36"/>
    <w:rsid w:val="00534723"/>
    <w:rsid w:val="00575660"/>
    <w:rsid w:val="00775C61"/>
    <w:rsid w:val="00822B85"/>
    <w:rsid w:val="0088016F"/>
    <w:rsid w:val="00880C05"/>
    <w:rsid w:val="008868CD"/>
    <w:rsid w:val="009A121D"/>
    <w:rsid w:val="009F6B67"/>
    <w:rsid w:val="00A37EA4"/>
    <w:rsid w:val="00A741D0"/>
    <w:rsid w:val="00C77C35"/>
    <w:rsid w:val="00E5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F8FAA40"/>
  <w15:docId w15:val="{916DB882-0370-4DA1-94D1-4F260E04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F5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AF52F5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110F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10FA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10F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10FA3"/>
    <w:rPr>
      <w:sz w:val="20"/>
      <w:szCs w:val="20"/>
    </w:rPr>
  </w:style>
  <w:style w:type="paragraph" w:styleId="aa">
    <w:name w:val="No Spacing"/>
    <w:uiPriority w:val="1"/>
    <w:qFormat/>
    <w:rsid w:val="00FD3EC4"/>
  </w:style>
  <w:style w:type="paragraph" w:styleId="Web">
    <w:name w:val="Normal (Web)"/>
    <w:basedOn w:val="a"/>
    <w:uiPriority w:val="99"/>
    <w:unhideWhenUsed/>
    <w:rsid w:val="00CD47D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styleId="ab">
    <w:name w:val="Hyperlink"/>
    <w:basedOn w:val="a0"/>
    <w:uiPriority w:val="99"/>
    <w:unhideWhenUsed/>
    <w:rsid w:val="00CD47DC"/>
    <w:rPr>
      <w:color w:val="0000FF"/>
      <w:u w:val="single"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efault">
    <w:name w:val="Default"/>
    <w:rsid w:val="00A37EA4"/>
    <w:pPr>
      <w:autoSpaceDE w:val="0"/>
      <w:autoSpaceDN w:val="0"/>
      <w:adjustRightInd w:val="0"/>
    </w:pPr>
    <w:rPr>
      <w:rFonts w:ascii="新細明體" w:eastAsia="新細明體" w:cs="新細明體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M1LFx/dLIFwsEM8iUdAzbTz+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DgAciExbHliemZTUkdURFM0MVZub3h3T0ppQTFUbzRhMG55c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家明 伍</dc:creator>
  <cp:lastModifiedBy>Cheok Weng Un</cp:lastModifiedBy>
  <cp:revision>8</cp:revision>
  <dcterms:created xsi:type="dcterms:W3CDTF">2023-09-15T12:02:00Z</dcterms:created>
  <dcterms:modified xsi:type="dcterms:W3CDTF">2025-03-08T15:41:00Z</dcterms:modified>
</cp:coreProperties>
</file>