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66666"/>
          <w:sz w:val="20"/>
          <w:szCs w:val="20"/>
        </w:rPr>
        <w:t xml:space="preserve">MIS5303 Securing Software</w:t>
      </w:r>
    </w:p>
    <w:p>
      <w:pPr>
        <w:spacing w:after="120"/>
      </w:pPr>
      <w:r>
        <w:rPr>
          <w:color w:val="666666"/>
          <w:sz w:val="20"/>
          <w:szCs w:val="20"/>
        </w:rPr>
        <w:t xml:space="preserve">Ashraful Islam  |  Student ID: 240135</w:t>
      </w:r>
    </w:p>
    <w:p>
      <w:pPr>
        <w:spacing w:after="60"/>
      </w:pPr>
      <w:r>
        <w:rPr>
          <w:b/>
          <w:bCs/>
          <w:color w:val="1F3864"/>
          <w:sz w:val="32"/>
          <w:szCs w:val="32"/>
        </w:rPr>
        <w:t xml:space="preserve">Lab 1 - Part 4: Architect's Perspective</w:t>
      </w:r>
    </w:p>
    <w:p>
      <w:pPr>
        <w:pBdr>
          <w:bottom w:val="single" w:color="1F3864" w:sz="12" w:space="6"/>
        </w:pBdr>
        <w:spacing w:after="200"/>
      </w:pPr>
      <w:r>
        <w:rPr>
          <w:color w:val="666666"/>
          <w:sz w:val="22"/>
          <w:szCs w:val="22"/>
        </w:rPr>
        <w:t xml:space="preserve">Secure Design Improvement Table</w:t>
      </w:r>
    </w:p>
    <w:p>
      <w:pPr>
        <w:spacing w:after="240"/>
      </w:pPr>
      <w:r>
        <w:rPr>
          <w:sz w:val="22"/>
          <w:szCs w:val="22"/>
        </w:rPr>
        <w:t xml:space="preserve">Stepping back from individual code-level fixes, the table below identifies the principal design and security-architecture weaknesses in the deliberately insecure Flask notes application, and sets out the recommended control, the technology that implements it, and the reasoning behind each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000"/>
        <w:gridCol w:w="2760"/>
      </w:tblGrid>
      <w:tr>
        <w:trPr>
          <w:tblHeader/>
        </w:trPr>
        <w:tc>
          <w:tcPr>
            <w:tcW w:type="dxa" w:w="0"/>
            <w:shd w:fill="1F3864" w:color="auto" w:val="clear"/>
            <w:tcMar>
              <w:top w:type="dxa" w:w="80"/>
              <w:left w:type="dxa" w:w="120"/>
              <w:bottom w:type="dxa" w:w="80"/>
              <w:right w:type="dxa" w:w="120"/>
            </w:tcMar>
          </w:tcPr>
          <w:p>
            <w:r>
              <w:rPr>
                <w:b/>
                <w:bCs/>
                <w:color w:val="FFFFFF"/>
                <w:sz w:val="20"/>
                <w:szCs w:val="20"/>
              </w:rPr>
              <w:t xml:space="preserve">App Flaw / Area</w:t>
            </w:r>
          </w:p>
        </w:tc>
        <w:tc>
          <w:tcPr>
            <w:tcW w:type="dxa" w:w="0"/>
            <w:shd w:fill="1F3864" w:color="auto" w:val="clear"/>
            <w:tcMar>
              <w:top w:type="dxa" w:w="80"/>
              <w:left w:type="dxa" w:w="120"/>
              <w:bottom w:type="dxa" w:w="80"/>
              <w:right w:type="dxa" w:w="120"/>
            </w:tcMar>
          </w:tcPr>
          <w:p>
            <w:r>
              <w:rPr>
                <w:b/>
                <w:bCs/>
                <w:color w:val="FFFFFF"/>
                <w:sz w:val="20"/>
                <w:szCs w:val="20"/>
              </w:rPr>
              <w:t xml:space="preserve">Proposed Security Design Improvement</w:t>
            </w:r>
          </w:p>
        </w:tc>
        <w:tc>
          <w:tcPr>
            <w:tcW w:type="dxa" w:w="0"/>
            <w:shd w:fill="1F3864" w:color="auto" w:val="clear"/>
            <w:tcMar>
              <w:top w:type="dxa" w:w="80"/>
              <w:left w:type="dxa" w:w="120"/>
              <w:bottom w:type="dxa" w:w="80"/>
              <w:right w:type="dxa" w:w="120"/>
            </w:tcMar>
          </w:tcPr>
          <w:p>
            <w:r>
              <w:rPr>
                <w:b/>
                <w:bCs/>
                <w:color w:val="FFFFFF"/>
                <w:sz w:val="20"/>
                <w:szCs w:val="20"/>
              </w:rPr>
              <w:t xml:space="preserve">Technology / Algorithm</w:t>
            </w:r>
          </w:p>
        </w:tc>
        <w:tc>
          <w:tcPr>
            <w:tcW w:type="dxa" w:w="0"/>
            <w:shd w:fill="1F3864" w:color="auto" w:val="clear"/>
            <w:tcMar>
              <w:top w:type="dxa" w:w="80"/>
              <w:left w:type="dxa" w:w="120"/>
              <w:bottom w:type="dxa" w:w="80"/>
              <w:right w:type="dxa" w:w="120"/>
            </w:tcMar>
          </w:tcPr>
          <w:p>
            <w:r>
              <w:rPr>
                <w:b/>
                <w:bCs/>
                <w:color w:val="FFFFFF"/>
                <w:sz w:val="20"/>
                <w:szCs w:val="20"/>
              </w:rPr>
              <w:t xml:space="preserve">Reason / Justification</w:t>
            </w:r>
          </w:p>
        </w:tc>
      </w:tr>
      <w:tr>
        <w:tc>
          <w:tcPr>
            <w:tcW w:type="dxa" w:w="2100"/>
            <w:tcMar>
              <w:top w:type="dxa" w:w="80"/>
              <w:left w:type="dxa" w:w="120"/>
              <w:bottom w:type="dxa" w:w="80"/>
              <w:right w:type="dxa" w:w="120"/>
            </w:tcMar>
          </w:tcPr>
          <w:p>
            <w:r>
              <w:rPr>
                <w:b/>
                <w:bCs/>
                <w:sz w:val="20"/>
                <w:szCs w:val="20"/>
              </w:rPr>
              <w:t xml:space="preserve">Hardcoded secret key</w:t>
            </w:r>
          </w:p>
        </w:tc>
        <w:tc>
          <w:tcPr>
            <w:tcW w:type="dxa" w:w="2500"/>
            <w:tcMar>
              <w:top w:type="dxa" w:w="80"/>
              <w:left w:type="dxa" w:w="120"/>
              <w:bottom w:type="dxa" w:w="80"/>
              <w:right w:type="dxa" w:w="120"/>
            </w:tcMar>
          </w:tcPr>
          <w:p>
            <w:r>
              <w:rPr>
                <w:b w:val="false"/>
                <w:bCs w:val="false"/>
                <w:sz w:val="20"/>
                <w:szCs w:val="20"/>
              </w:rPr>
              <w:t xml:space="preserve">Load the signing key from an environment variable at startup; never commit it to source</w:t>
            </w:r>
          </w:p>
        </w:tc>
        <w:tc>
          <w:tcPr>
            <w:tcW w:type="dxa" w:w="2000"/>
            <w:tcMar>
              <w:top w:type="dxa" w:w="80"/>
              <w:left w:type="dxa" w:w="120"/>
              <w:bottom w:type="dxa" w:w="80"/>
              <w:right w:type="dxa" w:w="120"/>
            </w:tcMar>
          </w:tcPr>
          <w:p>
            <w:r>
              <w:rPr>
                <w:b w:val="false"/>
                <w:bCs w:val="false"/>
                <w:sz w:val="20"/>
                <w:szCs w:val="20"/>
              </w:rPr>
              <w:t xml:space="preserve">os.environ / .env file with python-dotenv</w:t>
            </w:r>
          </w:p>
        </w:tc>
        <w:tc>
          <w:tcPr>
            <w:tcW w:type="dxa" w:w="2760"/>
            <w:tcMar>
              <w:top w:type="dxa" w:w="80"/>
              <w:left w:type="dxa" w:w="120"/>
              <w:bottom w:type="dxa" w:w="80"/>
              <w:right w:type="dxa" w:w="120"/>
            </w:tcMar>
          </w:tcPr>
          <w:p>
            <w:r>
              <w:rPr>
                <w:b w:val="false"/>
                <w:bCs w:val="false"/>
                <w:sz w:val="20"/>
                <w:szCs w:val="20"/>
              </w:rPr>
              <w:t xml:space="preserve">Keeps secrets out of version control, so a leaked repository does not leak the session-signing key. Rotating the key becomes a configuration change rather than a code change, and using a different key per environment limits the blast radius if one is exposed.</w:t>
            </w:r>
          </w:p>
        </w:tc>
      </w:tr>
      <w:tr>
        <w:tc>
          <w:tcPr>
            <w:tcW w:type="dxa" w:w="2100"/>
            <w:shd w:fill="DDE3F0" w:color="auto" w:val="clear"/>
            <w:tcMar>
              <w:top w:type="dxa" w:w="80"/>
              <w:left w:type="dxa" w:w="120"/>
              <w:bottom w:type="dxa" w:w="80"/>
              <w:right w:type="dxa" w:w="120"/>
            </w:tcMar>
          </w:tcPr>
          <w:p>
            <w:r>
              <w:rPr>
                <w:b/>
                <w:bCs/>
                <w:sz w:val="20"/>
                <w:szCs w:val="20"/>
              </w:rPr>
              <w:t xml:space="preserve">Plaintext password storage</w:t>
            </w:r>
          </w:p>
        </w:tc>
        <w:tc>
          <w:tcPr>
            <w:tcW w:type="dxa" w:w="2500"/>
            <w:shd w:fill="DDE3F0" w:color="auto" w:val="clear"/>
            <w:tcMar>
              <w:top w:type="dxa" w:w="80"/>
              <w:left w:type="dxa" w:w="120"/>
              <w:bottom w:type="dxa" w:w="80"/>
              <w:right w:type="dxa" w:w="120"/>
            </w:tcMar>
          </w:tcPr>
          <w:p>
            <w:r>
              <w:rPr>
                <w:b w:val="false"/>
                <w:bCs w:val="false"/>
                <w:sz w:val="20"/>
                <w:szCs w:val="20"/>
              </w:rPr>
              <w:t xml:space="preserve">Hash every password with a slow, salted algorithm before it is written to the database</w:t>
            </w:r>
          </w:p>
        </w:tc>
        <w:tc>
          <w:tcPr>
            <w:tcW w:type="dxa" w:w="2000"/>
            <w:shd w:fill="DDE3F0" w:color="auto" w:val="clear"/>
            <w:tcMar>
              <w:top w:type="dxa" w:w="80"/>
              <w:left w:type="dxa" w:w="120"/>
              <w:bottom w:type="dxa" w:w="80"/>
              <w:right w:type="dxa" w:w="120"/>
            </w:tcMar>
          </w:tcPr>
          <w:p>
            <w:r>
              <w:rPr>
                <w:b w:val="false"/>
                <w:bCs w:val="false"/>
                <w:sz w:val="20"/>
                <w:szCs w:val="20"/>
              </w:rPr>
              <w:t xml:space="preserve">Argon2 (argon2-cffi) or bcrypt</w:t>
            </w:r>
          </w:p>
        </w:tc>
        <w:tc>
          <w:tcPr>
            <w:tcW w:type="dxa" w:w="2760"/>
            <w:shd w:fill="DDE3F0" w:color="auto" w:val="clear"/>
            <w:tcMar>
              <w:top w:type="dxa" w:w="80"/>
              <w:left w:type="dxa" w:w="120"/>
              <w:bottom w:type="dxa" w:w="80"/>
              <w:right w:type="dxa" w:w="120"/>
            </w:tcMar>
          </w:tcPr>
          <w:p>
            <w:r>
              <w:rPr>
                <w:b w:val="false"/>
                <w:bCs w:val="false"/>
                <w:sz w:val="20"/>
                <w:szCs w:val="20"/>
              </w:rPr>
              <w:t xml:space="preserve">If the database is stolen, the attacker obtains irreversible hashes rather than usable passwords. Per-password salts defeat precomputed rainbow tables, and the deliberately slow work factor makes large-scale brute forcing computationally expensive. Argon2 is the current OWASP-recommended default.</w:t>
            </w:r>
          </w:p>
        </w:tc>
      </w:tr>
      <w:tr>
        <w:tc>
          <w:tcPr>
            <w:tcW w:type="dxa" w:w="2100"/>
            <w:tcMar>
              <w:top w:type="dxa" w:w="80"/>
              <w:left w:type="dxa" w:w="120"/>
              <w:bottom w:type="dxa" w:w="80"/>
              <w:right w:type="dxa" w:w="120"/>
            </w:tcMar>
          </w:tcPr>
          <w:p>
            <w:r>
              <w:rPr>
                <w:b/>
                <w:bCs/>
                <w:sz w:val="20"/>
                <w:szCs w:val="20"/>
              </w:rPr>
              <w:t xml:space="preserve">Insecure session cookies</w:t>
            </w:r>
          </w:p>
        </w:tc>
        <w:tc>
          <w:tcPr>
            <w:tcW w:type="dxa" w:w="2500"/>
            <w:tcMar>
              <w:top w:type="dxa" w:w="80"/>
              <w:left w:type="dxa" w:w="120"/>
              <w:bottom w:type="dxa" w:w="80"/>
              <w:right w:type="dxa" w:w="120"/>
            </w:tcMar>
          </w:tcPr>
          <w:p>
            <w:r>
              <w:rPr>
                <w:b w:val="false"/>
                <w:bCs w:val="false"/>
                <w:sz w:val="20"/>
                <w:szCs w:val="20"/>
              </w:rPr>
              <w:t xml:space="preserve">Enable the protective cookie flags on the Flask session</w:t>
            </w:r>
          </w:p>
        </w:tc>
        <w:tc>
          <w:tcPr>
            <w:tcW w:type="dxa" w:w="2000"/>
            <w:tcMar>
              <w:top w:type="dxa" w:w="80"/>
              <w:left w:type="dxa" w:w="120"/>
              <w:bottom w:type="dxa" w:w="80"/>
              <w:right w:type="dxa" w:w="120"/>
            </w:tcMar>
          </w:tcPr>
          <w:p>
            <w:r>
              <w:rPr>
                <w:b w:val="false"/>
                <w:bCs w:val="false"/>
                <w:sz w:val="20"/>
                <w:szCs w:val="20"/>
              </w:rPr>
              <w:t xml:space="preserve">Flask config: SESSION_COOKIE_HTTPONLY, SECURE, SAMESITE</w:t>
            </w:r>
          </w:p>
        </w:tc>
        <w:tc>
          <w:tcPr>
            <w:tcW w:type="dxa" w:w="2760"/>
            <w:tcMar>
              <w:top w:type="dxa" w:w="80"/>
              <w:left w:type="dxa" w:w="120"/>
              <w:bottom w:type="dxa" w:w="80"/>
              <w:right w:type="dxa" w:w="120"/>
            </w:tcMar>
          </w:tcPr>
          <w:p>
            <w:r>
              <w:rPr>
                <w:b w:val="false"/>
                <w:bCs w:val="false"/>
                <w:sz w:val="20"/>
                <w:szCs w:val="20"/>
              </w:rPr>
              <w:t xml:space="preserve">HttpOnly prevents client-side JavaScript (and therefore XSS payloads) from reading the session cookie; Secure forces transmission over HTTPS only; SameSite stops the cookie being sent on cross-site requests, mitigating CSRF. Together these close the common session-hijacking paths.</w:t>
            </w:r>
          </w:p>
        </w:tc>
      </w:tr>
      <w:tr>
        <w:tc>
          <w:tcPr>
            <w:tcW w:type="dxa" w:w="2100"/>
            <w:shd w:fill="DDE3F0" w:color="auto" w:val="clear"/>
            <w:tcMar>
              <w:top w:type="dxa" w:w="80"/>
              <w:left w:type="dxa" w:w="120"/>
              <w:bottom w:type="dxa" w:w="80"/>
              <w:right w:type="dxa" w:w="120"/>
            </w:tcMar>
          </w:tcPr>
          <w:p>
            <w:r>
              <w:rPr>
                <w:b/>
                <w:bCs/>
                <w:sz w:val="20"/>
                <w:szCs w:val="20"/>
              </w:rPr>
              <w:t xml:space="preserve">SQL injection (string-built queries)</w:t>
            </w:r>
          </w:p>
        </w:tc>
        <w:tc>
          <w:tcPr>
            <w:tcW w:type="dxa" w:w="2500"/>
            <w:shd w:fill="DDE3F0" w:color="auto" w:val="clear"/>
            <w:tcMar>
              <w:top w:type="dxa" w:w="80"/>
              <w:left w:type="dxa" w:w="120"/>
              <w:bottom w:type="dxa" w:w="80"/>
              <w:right w:type="dxa" w:w="120"/>
            </w:tcMar>
          </w:tcPr>
          <w:p>
            <w:r>
              <w:rPr>
                <w:b w:val="false"/>
                <w:bCs w:val="false"/>
                <w:sz w:val="20"/>
                <w:szCs w:val="20"/>
              </w:rPr>
              <w:t xml:space="preserve">Use parameterised queries throughout, and adopt an ORM to make the safe path the default</w:t>
            </w:r>
          </w:p>
        </w:tc>
        <w:tc>
          <w:tcPr>
            <w:tcW w:type="dxa" w:w="2000"/>
            <w:shd w:fill="DDE3F0" w:color="auto" w:val="clear"/>
            <w:tcMar>
              <w:top w:type="dxa" w:w="80"/>
              <w:left w:type="dxa" w:w="120"/>
              <w:bottom w:type="dxa" w:w="80"/>
              <w:right w:type="dxa" w:w="120"/>
            </w:tcMar>
          </w:tcPr>
          <w:p>
            <w:r>
              <w:rPr>
                <w:b w:val="false"/>
                <w:bCs w:val="false"/>
                <w:sz w:val="20"/>
                <w:szCs w:val="20"/>
              </w:rPr>
              <w:t xml:space="preserve">sqlite3 placeholders (?) / SQLAlchemy</w:t>
            </w:r>
          </w:p>
        </w:tc>
        <w:tc>
          <w:tcPr>
            <w:tcW w:type="dxa" w:w="2760"/>
            <w:shd w:fill="DDE3F0" w:color="auto" w:val="clear"/>
            <w:tcMar>
              <w:top w:type="dxa" w:w="80"/>
              <w:left w:type="dxa" w:w="120"/>
              <w:bottom w:type="dxa" w:w="80"/>
              <w:right w:type="dxa" w:w="120"/>
            </w:tcMar>
          </w:tcPr>
          <w:p>
            <w:r>
              <w:rPr>
                <w:b w:val="false"/>
                <w:bCs w:val="false"/>
                <w:sz w:val="20"/>
                <w:szCs w:val="20"/>
              </w:rPr>
              <w:t xml:space="preserve">Binding parameters separates code from data, so user input can never alter the structure of a query. An ORM applies this safe pattern consistently across the whole codebase, eliminating the CWE-89 class of defect rather than patching one query at a time.</w:t>
            </w:r>
          </w:p>
        </w:tc>
      </w:tr>
      <w:tr>
        <w:tc>
          <w:tcPr>
            <w:tcW w:type="dxa" w:w="2100"/>
            <w:tcMar>
              <w:top w:type="dxa" w:w="80"/>
              <w:left w:type="dxa" w:w="120"/>
              <w:bottom w:type="dxa" w:w="80"/>
              <w:right w:type="dxa" w:w="120"/>
            </w:tcMar>
          </w:tcPr>
          <w:p>
            <w:r>
              <w:rPr>
                <w:b/>
                <w:bCs/>
                <w:sz w:val="20"/>
                <w:szCs w:val="20"/>
              </w:rPr>
              <w:t xml:space="preserve">Command injection (shell=True)</w:t>
            </w:r>
          </w:p>
        </w:tc>
        <w:tc>
          <w:tcPr>
            <w:tcW w:type="dxa" w:w="2500"/>
            <w:tcMar>
              <w:top w:type="dxa" w:w="80"/>
              <w:left w:type="dxa" w:w="120"/>
              <w:bottom w:type="dxa" w:w="80"/>
              <w:right w:type="dxa" w:w="120"/>
            </w:tcMar>
          </w:tcPr>
          <w:p>
            <w:r>
              <w:rPr>
                <w:b w:val="false"/>
                <w:bCs w:val="false"/>
                <w:sz w:val="20"/>
                <w:szCs w:val="20"/>
              </w:rPr>
              <w:t xml:space="preserve">Remove the shell, pass arguments as a list, and validate the input against an allow-list</w:t>
            </w:r>
          </w:p>
        </w:tc>
        <w:tc>
          <w:tcPr>
            <w:tcW w:type="dxa" w:w="2000"/>
            <w:tcMar>
              <w:top w:type="dxa" w:w="80"/>
              <w:left w:type="dxa" w:w="120"/>
              <w:bottom w:type="dxa" w:w="80"/>
              <w:right w:type="dxa" w:w="120"/>
            </w:tcMar>
          </w:tcPr>
          <w:p>
            <w:r>
              <w:rPr>
                <w:b w:val="false"/>
                <w:bCs w:val="false"/>
                <w:sz w:val="20"/>
                <w:szCs w:val="20"/>
              </w:rPr>
              <w:t xml:space="preserve">subprocess.run([...], shell=False) + input allow-list / regex</w:t>
            </w:r>
          </w:p>
        </w:tc>
        <w:tc>
          <w:tcPr>
            <w:tcW w:type="dxa" w:w="2760"/>
            <w:tcMar>
              <w:top w:type="dxa" w:w="80"/>
              <w:left w:type="dxa" w:w="120"/>
              <w:bottom w:type="dxa" w:w="80"/>
              <w:right w:type="dxa" w:w="120"/>
            </w:tcMar>
          </w:tcPr>
          <w:p>
            <w:r>
              <w:rPr>
                <w:b w:val="false"/>
                <w:bCs w:val="false"/>
                <w:sz w:val="20"/>
                <w:szCs w:val="20"/>
              </w:rPr>
              <w:t xml:space="preserve">Passing arguments as a list means user input is never interpreted by an OS shell, which removes the injection vector entirely. Validating the host against an allow-list or IP-format pattern rejects unexpected input; better still, a pure-Python library avoids running an OS command at all.</w:t>
            </w:r>
          </w:p>
        </w:tc>
      </w:tr>
      <w:tr>
        <w:tc>
          <w:tcPr>
            <w:tcW w:type="dxa" w:w="2100"/>
            <w:shd w:fill="DDE3F0" w:color="auto" w:val="clear"/>
            <w:tcMar>
              <w:top w:type="dxa" w:w="80"/>
              <w:left w:type="dxa" w:w="120"/>
              <w:bottom w:type="dxa" w:w="80"/>
              <w:right w:type="dxa" w:w="120"/>
            </w:tcMar>
          </w:tcPr>
          <w:p>
            <w:r>
              <w:rPr>
                <w:b/>
                <w:bCs/>
                <w:sz w:val="20"/>
                <w:szCs w:val="20"/>
              </w:rPr>
              <w:t xml:space="preserve">Unvalidated input / unrestricted file upload</w:t>
            </w:r>
          </w:p>
        </w:tc>
        <w:tc>
          <w:tcPr>
            <w:tcW w:type="dxa" w:w="2500"/>
            <w:shd w:fill="DDE3F0" w:color="auto" w:val="clear"/>
            <w:tcMar>
              <w:top w:type="dxa" w:w="80"/>
              <w:left w:type="dxa" w:w="120"/>
              <w:bottom w:type="dxa" w:w="80"/>
              <w:right w:type="dxa" w:w="120"/>
            </w:tcMar>
          </w:tcPr>
          <w:p>
            <w:r>
              <w:rPr>
                <w:b w:val="false"/>
                <w:bCs w:val="false"/>
                <w:sz w:val="20"/>
                <w:szCs w:val="20"/>
              </w:rPr>
              <w:t xml:space="preserve">Validate and sanitise all inputs server-side, and constrain uploads by type, size, and filename</w:t>
            </w:r>
          </w:p>
        </w:tc>
        <w:tc>
          <w:tcPr>
            <w:tcW w:type="dxa" w:w="2000"/>
            <w:shd w:fill="DDE3F0" w:color="auto" w:val="clear"/>
            <w:tcMar>
              <w:top w:type="dxa" w:w="80"/>
              <w:left w:type="dxa" w:w="120"/>
              <w:bottom w:type="dxa" w:w="80"/>
              <w:right w:type="dxa" w:w="120"/>
            </w:tcMar>
          </w:tcPr>
          <w:p>
            <w:r>
              <w:rPr>
                <w:b w:val="false"/>
                <w:bCs w:val="false"/>
                <w:sz w:val="20"/>
                <w:szCs w:val="20"/>
              </w:rPr>
              <w:t xml:space="preserve">WTForms / Marshmallow + werkzeug secure_filename() + size limit</w:t>
            </w:r>
          </w:p>
        </w:tc>
        <w:tc>
          <w:tcPr>
            <w:tcW w:type="dxa" w:w="2760"/>
            <w:shd w:fill="DDE3F0" w:color="auto" w:val="clear"/>
            <w:tcMar>
              <w:top w:type="dxa" w:w="80"/>
              <w:left w:type="dxa" w:w="120"/>
              <w:bottom w:type="dxa" w:w="80"/>
              <w:right w:type="dxa" w:w="120"/>
            </w:tcMar>
          </w:tcPr>
          <w:p>
            <w:r>
              <w:rPr>
                <w:b w:val="false"/>
                <w:bCs w:val="false"/>
                <w:sz w:val="20"/>
                <w:szCs w:val="20"/>
              </w:rPr>
              <w:t xml:space="preserve">Server-side validation enforces expected types and lengths regardless of client behaviour, blocking XSS, SQLi, and oversized payloads. secure_filename() together with an extension allow-list prevents path traversal and executable uploads. This applies defence-in-depth: the client is never trusted.</w:t>
            </w:r>
          </w:p>
        </w:tc>
      </w:tr>
      <w:tr>
        <w:tc>
          <w:tcPr>
            <w:tcW w:type="dxa" w:w="2100"/>
            <w:tcMar>
              <w:top w:type="dxa" w:w="80"/>
              <w:left w:type="dxa" w:w="120"/>
              <w:bottom w:type="dxa" w:w="80"/>
              <w:right w:type="dxa" w:w="120"/>
            </w:tcMar>
          </w:tcPr>
          <w:p>
            <w:r>
              <w:rPr>
                <w:b/>
                <w:bCs/>
                <w:sz w:val="20"/>
                <w:szCs w:val="20"/>
              </w:rPr>
              <w:t xml:space="preserve">Debug mode enabled in the app</w:t>
            </w:r>
          </w:p>
        </w:tc>
        <w:tc>
          <w:tcPr>
            <w:tcW w:type="dxa" w:w="2500"/>
            <w:tcMar>
              <w:top w:type="dxa" w:w="80"/>
              <w:left w:type="dxa" w:w="120"/>
              <w:bottom w:type="dxa" w:w="80"/>
              <w:right w:type="dxa" w:w="120"/>
            </w:tcMar>
          </w:tcPr>
          <w:p>
            <w:r>
              <w:rPr>
                <w:b w:val="false"/>
                <w:bCs w:val="false"/>
                <w:sz w:val="20"/>
                <w:szCs w:val="20"/>
              </w:rPr>
              <w:t xml:space="preserve">Disable the interactive debugger and run behind a production WSGI server</w:t>
            </w:r>
          </w:p>
        </w:tc>
        <w:tc>
          <w:tcPr>
            <w:tcW w:type="dxa" w:w="2000"/>
            <w:tcMar>
              <w:top w:type="dxa" w:w="80"/>
              <w:left w:type="dxa" w:w="120"/>
              <w:bottom w:type="dxa" w:w="80"/>
              <w:right w:type="dxa" w:w="120"/>
            </w:tcMar>
          </w:tcPr>
          <w:p>
            <w:r>
              <w:rPr>
                <w:b w:val="false"/>
                <w:bCs w:val="false"/>
                <w:sz w:val="20"/>
                <w:szCs w:val="20"/>
              </w:rPr>
              <w:t xml:space="preserve">app.run(debug=False) / Gunicorn or Waitress + reverse proxy</w:t>
            </w:r>
          </w:p>
        </w:tc>
        <w:tc>
          <w:tcPr>
            <w:tcW w:type="dxa" w:w="2760"/>
            <w:tcMar>
              <w:top w:type="dxa" w:w="80"/>
              <w:left w:type="dxa" w:w="120"/>
              <w:bottom w:type="dxa" w:w="80"/>
              <w:right w:type="dxa" w:w="120"/>
            </w:tcMar>
          </w:tcPr>
          <w:p>
            <w:r>
              <w:rPr>
                <w:b w:val="false"/>
                <w:bCs w:val="false"/>
                <w:sz w:val="20"/>
                <w:szCs w:val="20"/>
              </w:rPr>
              <w:t xml:space="preserve">The Werkzeug debugger allows arbitrary code execution through the browser and leaks full stack traces (CWE-94). Disabling it and serving through a hardened WSGI server removes a critical remote-code-execution surface and prevents sensitive internal detail from being exposed to users.</w:t>
            </w:r>
          </w:p>
        </w:tc>
      </w:tr>
    </w:tbl>
    <w:p>
      <w:pPr>
        <w:spacing w:after="80" w:before="320"/>
      </w:pPr>
      <w:r>
        <w:rPr>
          <w:b/>
          <w:bCs/>
          <w:color w:val="1F3864"/>
          <w:sz w:val="24"/>
          <w:szCs w:val="24"/>
        </w:rPr>
        <w:t xml:space="preserve">Design principle</w:t>
      </w:r>
    </w:p>
    <w:p>
      <w:r>
        <w:rPr>
          <w:sz w:val="22"/>
          <w:szCs w:val="22"/>
        </w:rPr>
        <w:t xml:space="preserve">The improvements above share a common theme: shift trust away from the client and away from convenient-but-unsafe defaults. Secrets move to configuration, credentials are stored irreversibly, queries and commands treat user input as inert data rather than executable code, and every input is validated on the server. Applied together, these controls provide defence-in-depth, so that the failure of any single control does not compromise the whole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MIS5303 Lab 1 - Part 4 Architect's Secure Design Improvements</dc:title>
  <dc:creator>Ashraful Islam</dc:creator>
  <cp:lastModifiedBy>Un-named</cp:lastModifiedBy>
  <cp:revision>1</cp:revision>
  <dcterms:created xsi:type="dcterms:W3CDTF">2026-07-18T04:33:22.206Z</dcterms:created>
  <dcterms:modified xsi:type="dcterms:W3CDTF">2026-07-18T04:33:22.229Z</dcterms:modified>
</cp:coreProperties>
</file>

<file path=docProps/custom.xml><?xml version="1.0" encoding="utf-8"?>
<Properties xmlns="http://schemas.openxmlformats.org/officeDocument/2006/custom-properties" xmlns:vt="http://schemas.openxmlformats.org/officeDocument/2006/docPropsVTypes"/>
</file>