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rFonts w:ascii="Calibri" w:cs="Calibri" w:eastAsia="Calibri" w:hAnsi="Calibri"/>
          <w:b/>
          <w:bCs/>
          <w:color w:val="1F4E5F"/>
          <w:sz w:val="32"/>
          <w:szCs w:val="32"/>
        </w:rPr>
        <w:t xml:space="preserve">SEDAS — Week 4 Presentation Script</w:t>
      </w:r>
    </w:p>
    <w:p>
      <w:pPr>
        <w:spacing w:after="280"/>
        <w:jc w:val="center"/>
      </w:pPr>
      <w:r>
        <w:rPr>
          <w:rFonts w:ascii="Calibri" w:cs="Calibri" w:eastAsia="Calibri" w:hAnsi="Calibri"/>
          <w:i/>
          <w:iCs/>
          <w:sz w:val="20"/>
          <w:szCs w:val="20"/>
        </w:rPr>
        <w:t xml:space="preserve">Full speaking notes, slide by slide, matched to SEDAS_Week4_Presentation.pptx</w:t>
      </w:r>
    </w:p>
    <w:p>
      <w:pPr>
        <w:pStyle w:val="Heading1"/>
        <w:spacing w:after="140" w:before="320"/>
      </w:pPr>
      <w:r>
        <w:rPr>
          <w:rFonts w:ascii="Calibri" w:cs="Calibri" w:eastAsia="Calibri" w:hAnsi="Calibri"/>
          <w:b/>
          <w:bCs/>
          <w:color w:val="1F4E5F"/>
          <w:sz w:val="27"/>
          <w:szCs w:val="27"/>
        </w:rPr>
        <w:t xml:space="preserve">Running Order and Timing</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400"/>
        <w:gridCol w:w="2200"/>
      </w:tblGrid>
      <w:tr>
        <w:trPr>
          <w:tblHeader/>
        </w:trPr>
        <w:tc>
          <w:tcPr>
            <w:tcW w:type="dxa" w:w="15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Slides</w:t>
            </w:r>
          </w:p>
        </w:tc>
        <w:tc>
          <w:tcPr>
            <w:tcW w:type="dxa" w:w="40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Section</w:t>
            </w:r>
          </w:p>
        </w:tc>
        <w:tc>
          <w:tcPr>
            <w:tcW w:type="dxa" w:w="24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Speaker</w:t>
            </w:r>
          </w:p>
        </w:tc>
        <w:tc>
          <w:tcPr>
            <w:tcW w:type="dxa" w:w="22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Approx. time</w:t>
            </w:r>
          </w:p>
        </w:tc>
      </w:tr>
      <w:tr>
        <w:trPr>
          <w:tblHeader w:val="false"/>
        </w:trPr>
        <w:tc>
          <w:tcPr>
            <w:tcW w:type="dxa" w:w="1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Title</w:t>
            </w:r>
          </w:p>
        </w:tc>
        <w:tc>
          <w:tcPr>
            <w:tcW w:type="dxa" w:w="40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Opening</w:t>
            </w:r>
          </w:p>
        </w:tc>
        <w:tc>
          <w:tcPr>
            <w:tcW w:type="dxa" w:w="24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Sonu (opens)</w:t>
            </w:r>
          </w:p>
        </w:tc>
        <w:tc>
          <w:tcPr>
            <w:tcW w:type="dxa" w:w="22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20 sec</w:t>
            </w:r>
          </w:p>
        </w:tc>
      </w:tr>
      <w:tr>
        <w:trPr>
          <w:tblHeader w:val="false"/>
        </w:trPr>
        <w:tc>
          <w:tcPr>
            <w:tcW w:type="dxa" w:w="15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2</w:t>
            </w:r>
          </w:p>
        </w:tc>
        <w:tc>
          <w:tcPr>
            <w:tcW w:type="dxa" w:w="40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Project &amp; Problem</w:t>
            </w:r>
          </w:p>
        </w:tc>
        <w:tc>
          <w:tcPr>
            <w:tcW w:type="dxa" w:w="24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Sonu</w:t>
            </w:r>
          </w:p>
        </w:tc>
        <w:tc>
          <w:tcPr>
            <w:tcW w:type="dxa" w:w="22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60 sec</w:t>
            </w:r>
          </w:p>
        </w:tc>
      </w:tr>
      <w:tr>
        <w:trPr>
          <w:tblHeader w:val="false"/>
        </w:trPr>
        <w:tc>
          <w:tcPr>
            <w:tcW w:type="dxa" w:w="1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3–5</w:t>
            </w:r>
          </w:p>
        </w:tc>
        <w:tc>
          <w:tcPr>
            <w:tcW w:type="dxa" w:w="40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Dataset &amp; Preparation</w:t>
            </w:r>
          </w:p>
        </w:tc>
        <w:tc>
          <w:tcPr>
            <w:tcW w:type="dxa" w:w="24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Dominic</w:t>
            </w:r>
          </w:p>
        </w:tc>
        <w:tc>
          <w:tcPr>
            <w:tcW w:type="dxa" w:w="22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2 min 30 sec</w:t>
            </w:r>
          </w:p>
        </w:tc>
      </w:tr>
      <w:tr>
        <w:trPr>
          <w:tblHeader w:val="false"/>
        </w:trPr>
        <w:tc>
          <w:tcPr>
            <w:tcW w:type="dxa" w:w="15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6–8</w:t>
            </w:r>
          </w:p>
        </w:tc>
        <w:tc>
          <w:tcPr>
            <w:tcW w:type="dxa" w:w="40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Feature Eng. &amp; Workflow</w:t>
            </w:r>
          </w:p>
        </w:tc>
        <w:tc>
          <w:tcPr>
            <w:tcW w:type="dxa" w:w="24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Ashraful</w:t>
            </w:r>
          </w:p>
        </w:tc>
        <w:tc>
          <w:tcPr>
            <w:tcW w:type="dxa" w:w="22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2 min 45 sec</w:t>
            </w:r>
          </w:p>
        </w:tc>
      </w:tr>
      <w:tr>
        <w:trPr>
          <w:tblHeader w:val="false"/>
        </w:trPr>
        <w:tc>
          <w:tcPr>
            <w:tcW w:type="dxa" w:w="1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9–11</w:t>
            </w:r>
          </w:p>
        </w:tc>
        <w:tc>
          <w:tcPr>
            <w:tcW w:type="dxa" w:w="40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Outputs &amp; Limitations</w:t>
            </w:r>
          </w:p>
        </w:tc>
        <w:tc>
          <w:tcPr>
            <w:tcW w:type="dxa" w:w="24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Huzaifa</w:t>
            </w:r>
          </w:p>
        </w:tc>
        <w:tc>
          <w:tcPr>
            <w:tcW w:type="dxa" w:w="22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2 min 45 sec</w:t>
            </w:r>
          </w:p>
        </w:tc>
      </w:tr>
      <w:tr>
        <w:trPr>
          <w:tblHeader w:val="false"/>
        </w:trPr>
        <w:tc>
          <w:tcPr>
            <w:tcW w:type="dxa" w:w="15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12–13</w:t>
            </w:r>
          </w:p>
        </w:tc>
        <w:tc>
          <w:tcPr>
            <w:tcW w:type="dxa" w:w="40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Planned Improvements</w:t>
            </w:r>
          </w:p>
        </w:tc>
        <w:tc>
          <w:tcPr>
            <w:tcW w:type="dxa" w:w="24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Sonu</w:t>
            </w:r>
          </w:p>
        </w:tc>
        <w:tc>
          <w:tcPr>
            <w:tcW w:type="dxa" w:w="22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1 min 45 sec</w:t>
            </w:r>
          </w:p>
        </w:tc>
      </w:tr>
      <w:tr>
        <w:trPr>
          <w:tblHeader w:val="false"/>
        </w:trPr>
        <w:tc>
          <w:tcPr>
            <w:tcW w:type="dxa" w:w="1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Closing</w:t>
            </w:r>
          </w:p>
        </w:tc>
        <w:tc>
          <w:tcPr>
            <w:tcW w:type="dxa" w:w="40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Wrap-up</w:t>
            </w:r>
          </w:p>
        </w:tc>
        <w:tc>
          <w:tcPr>
            <w:tcW w:type="dxa" w:w="24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Sonu (closes)</w:t>
            </w:r>
          </w:p>
        </w:tc>
        <w:tc>
          <w:tcPr>
            <w:tcW w:type="dxa" w:w="22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20 sec</w:t>
            </w:r>
          </w:p>
        </w:tc>
      </w:tr>
    </w:tbl>
    <w:p>
      <w:pPr>
        <w:spacing w:after="140" w:line="276"/>
        <w:jc w:val="both"/>
      </w:pPr>
      <w:r>
        <w:rPr>
          <w:rFonts w:ascii="Calibri" w:cs="Calibri" w:eastAsia="Calibri" w:hAnsi="Calibri"/>
          <w:i/>
          <w:iCs/>
          <w:color w:val="555555"/>
          <w:sz w:val="19"/>
          <w:szCs w:val="19"/>
        </w:rPr>
        <w:t xml:space="preserve">Total run time: roughly 10–11 minutes. Each person's total speaking time stays close to 3 minutes, matching the 3-slides-per-person structure. Rehearse once as a full group before presenting, so handoffs between speakers feel natural rather than abrupt.</w:t>
      </w:r>
    </w:p>
    <w:p>
      <w:pPr>
        <w:pStyle w:val="Heading1"/>
        <w:spacing w:after="140" w:before="320"/>
      </w:pPr>
      <w:r>
        <w:rPr>
          <w:rFonts w:ascii="Calibri" w:cs="Calibri" w:eastAsia="Calibri" w:hAnsi="Calibri"/>
          <w:b/>
          <w:bCs/>
          <w:color w:val="1F4E5F"/>
          <w:sz w:val="27"/>
          <w:szCs w:val="27"/>
        </w:rPr>
        <w:t xml:space="preserve">Opening — Sonu</w:t>
      </w:r>
    </w:p>
    <w:p>
      <w:pPr>
        <w:shd w:fill="EEF3F5" w:val="clear"/>
        <w:spacing w:after="90" w:before="280"/>
        <w:ind w:left="172" w:right="172"/>
      </w:pPr>
      <w:r>
        <w:rPr>
          <w:rFonts w:ascii="Calibri" w:cs="Calibri" w:eastAsia="Calibri" w:hAnsi="Calibri"/>
          <w:b/>
          <w:bCs/>
          <w:color w:val="1F4E5F"/>
          <w:sz w:val="19"/>
          <w:szCs w:val="19"/>
        </w:rPr>
        <w:t xml:space="preserve">SLIDE Title</w:t>
      </w:r>
      <w:r>
        <w:rPr>
          <w:rFonts w:ascii="Calibri" w:cs="Calibri" w:eastAsia="Calibri" w:hAnsi="Calibri"/>
          <w:b/>
          <w:bCs/>
          <w:color w:val="333333"/>
          <w:sz w:val="19"/>
          <w:szCs w:val="19"/>
        </w:rPr>
        <w:t xml:space="preserve">   ·   SEDAS</w:t>
      </w:r>
      <w:r>
        <w:rPr>
          <w:rFonts w:ascii="Calibri" w:cs="Calibri" w:eastAsia="Calibri" w:hAnsi="Calibri"/>
          <w:b/>
          <w:bCs/>
          <w:color w:val="8C4A00"/>
          <w:sz w:val="19"/>
          <w:szCs w:val="19"/>
        </w:rPr>
        <w:t xml:space="preserve">   ·   Sonu</w:t>
      </w:r>
      <w:r>
        <w:rPr>
          <w:rFonts w:ascii="Calibri" w:cs="Calibri" w:eastAsia="Calibri" w:hAnsi="Calibri"/>
          <w:i/>
          <w:iCs/>
          <w:color w:val="6B7280"/>
          <w:sz w:val="17"/>
          <w:szCs w:val="17"/>
        </w:rPr>
        <w:t xml:space="preserve">   (20 sec)</w:t>
      </w:r>
    </w:p>
    <w:p>
      <w:pPr>
        <w:spacing w:after="150" w:line="280"/>
        <w:ind w:left="215" w:right="144"/>
      </w:pPr>
      <w:r>
        <w:rPr>
          <w:rFonts w:ascii="Calibri" w:cs="Calibri" w:eastAsia="Calibri" w:hAnsi="Calibri"/>
          <w:i/>
          <w:iCs/>
          <w:sz w:val="21"/>
          <w:szCs w:val="21"/>
        </w:rPr>
        <w:t xml:space="preserve">“Good afternoon. We're presenting SEDAS — the Social Engineering Defence and Awareness System. This is our Week 4 progress update, covering the MVP we've built and validated so far. I'm Sonu, and with me are Ashraful, Dominic, and Huzaifa.”</w:t>
      </w:r>
    </w:p>
    <w:p>
      <w:pPr>
        <w:spacing w:after="180" w:line="260"/>
        <w:ind w:left="215"/>
      </w:pPr>
      <w:r>
        <w:rPr>
          <w:rFonts w:ascii="Calibri" w:cs="Calibri" w:eastAsia="Calibri" w:hAnsi="Calibri"/>
          <w:b/>
          <w:bCs/>
          <w:color w:val="8C4A00"/>
          <w:sz w:val="18"/>
          <w:szCs w:val="18"/>
        </w:rPr>
        <w:t xml:space="preserve">Cue: </w:t>
      </w:r>
      <w:r>
        <w:rPr>
          <w:rFonts w:ascii="Calibri" w:cs="Calibri" w:eastAsia="Calibri" w:hAnsi="Calibri"/>
          <w:i/>
          <w:iCs/>
          <w:color w:val="555555"/>
          <w:sz w:val="18"/>
          <w:szCs w:val="18"/>
        </w:rPr>
        <w:t xml:space="preserve">Gesture to each teammate as you say their name. Keep this under 20 seconds — the content starts on the next slide.</w:t>
      </w:r>
    </w:p>
    <w:p>
      <w:pPr>
        <w:shd w:fill="EEF3F5" w:val="clear"/>
        <w:spacing w:after="90" w:before="280"/>
        <w:ind w:left="172" w:right="172"/>
      </w:pPr>
      <w:r>
        <w:rPr>
          <w:rFonts w:ascii="Calibri" w:cs="Calibri" w:eastAsia="Calibri" w:hAnsi="Calibri"/>
          <w:b/>
          <w:bCs/>
          <w:color w:val="1F4E5F"/>
          <w:sz w:val="19"/>
          <w:szCs w:val="19"/>
        </w:rPr>
        <w:t xml:space="preserve">SLIDE 2</w:t>
      </w:r>
      <w:r>
        <w:rPr>
          <w:rFonts w:ascii="Calibri" w:cs="Calibri" w:eastAsia="Calibri" w:hAnsi="Calibri"/>
          <w:b/>
          <w:bCs/>
          <w:color w:val="333333"/>
          <w:sz w:val="19"/>
          <w:szCs w:val="19"/>
        </w:rPr>
        <w:t xml:space="preserve">   ·   Detection alone isn't enough</w:t>
      </w:r>
      <w:r>
        <w:rPr>
          <w:rFonts w:ascii="Calibri" w:cs="Calibri" w:eastAsia="Calibri" w:hAnsi="Calibri"/>
          <w:b/>
          <w:bCs/>
          <w:color w:val="8C4A00"/>
          <w:sz w:val="19"/>
          <w:szCs w:val="19"/>
        </w:rPr>
        <w:t xml:space="preserve">   ·   Sonu</w:t>
      </w:r>
      <w:r>
        <w:rPr>
          <w:rFonts w:ascii="Calibri" w:cs="Calibri" w:eastAsia="Calibri" w:hAnsi="Calibri"/>
          <w:i/>
          <w:iCs/>
          <w:color w:val="6B7280"/>
          <w:sz w:val="17"/>
          <w:szCs w:val="17"/>
        </w:rPr>
        <w:t xml:space="preserve">   (60 sec)</w:t>
      </w:r>
    </w:p>
    <w:p>
      <w:pPr>
        <w:spacing w:after="150" w:line="280"/>
        <w:ind w:left="215" w:right="144"/>
      </w:pPr>
      <w:r>
        <w:rPr>
          <w:rFonts w:ascii="Calibri" w:cs="Calibri" w:eastAsia="Calibri" w:hAnsi="Calibri"/>
          <w:i/>
          <w:iCs/>
          <w:sz w:val="21"/>
          <w:szCs w:val="21"/>
        </w:rPr>
        <w:t xml:space="preserve">“Phishing is one of the hardest security problems to solve technically, because it doesn't attack your systems — it attacks your judgement. An attacker doesn't need to break through a firewall if they can persuade one person to click a link.”</w:t>
      </w:r>
    </w:p>
    <w:p>
      <w:pPr>
        <w:spacing w:after="150" w:line="280"/>
        <w:ind w:left="215" w:right="144"/>
      </w:pPr>
      <w:r>
        <w:rPr>
          <w:rFonts w:ascii="Calibri" w:cs="Calibri" w:eastAsia="Calibri" w:hAnsi="Calibri"/>
          <w:i/>
          <w:iCs/>
          <w:sz w:val="21"/>
          <w:szCs w:val="21"/>
        </w:rPr>
        <w:t xml:space="preserve">“Universities make this worse. We have large, constantly changing populations — new students every semester, visiting staff, external collaborators — and a lot of decentralised services. That's a lot of plausible identities for an attacker to imitate.”</w:t>
      </w:r>
    </w:p>
    <w:p>
      <w:pPr>
        <w:spacing w:after="150" w:line="280"/>
        <w:ind w:left="215" w:right="144"/>
      </w:pPr>
      <w:r>
        <w:rPr>
          <w:rFonts w:ascii="Calibri" w:cs="Calibri" w:eastAsia="Calibri" w:hAnsi="Calibri"/>
          <w:i/>
          <w:iCs/>
          <w:sz w:val="21"/>
          <w:szCs w:val="21"/>
        </w:rPr>
        <w:t xml:space="preserve">“Most existing detection research stops at classification: an email comes in, a model says phishing or not, and that's the end of it. There's no explanation for the user, and nothing about that decision feeds back into training or governance. That's the gap SEDAS is built to close — not just detecting phishing, but doing something useful with that detection.”</w:t>
      </w:r>
    </w:p>
    <w:p>
      <w:pPr>
        <w:spacing w:after="180" w:line="260"/>
        <w:ind w:left="215"/>
      </w:pPr>
      <w:r>
        <w:rPr>
          <w:rFonts w:ascii="Calibri" w:cs="Calibri" w:eastAsia="Calibri" w:hAnsi="Calibri"/>
          <w:b/>
          <w:bCs/>
          <w:color w:val="8C4A00"/>
          <w:sz w:val="18"/>
          <w:szCs w:val="18"/>
        </w:rPr>
        <w:t xml:space="preserve">Cue: </w:t>
      </w:r>
      <w:r>
        <w:rPr>
          <w:rFonts w:ascii="Calibri" w:cs="Calibri" w:eastAsia="Calibri" w:hAnsi="Calibri"/>
          <w:i/>
          <w:iCs/>
          <w:color w:val="555555"/>
          <w:sz w:val="18"/>
          <w:szCs w:val="18"/>
        </w:rPr>
        <w:t xml:space="preserve">Point at the three numbered items as you go through them, then land on the navy box at the bottom for the pivot into the rest of the talk.</w:t>
      </w:r>
    </w:p>
    <w:p>
      <w:pPr>
        <w:pStyle w:val="Heading1"/>
        <w:spacing w:after="140" w:before="320"/>
      </w:pPr>
      <w:r>
        <w:rPr>
          <w:rFonts w:ascii="Calibri" w:cs="Calibri" w:eastAsia="Calibri" w:hAnsi="Calibri"/>
          <w:b/>
          <w:bCs/>
          <w:color w:val="1F4E5F"/>
          <w:sz w:val="27"/>
          <w:szCs w:val="27"/>
        </w:rPr>
        <w:t xml:space="preserve">Dataset &amp; Preparation — Dominic</w:t>
      </w:r>
    </w:p>
    <w:p>
      <w:pPr>
        <w:shd w:fill="EEF3F5" w:val="clear"/>
        <w:spacing w:after="90" w:before="280"/>
        <w:ind w:left="172" w:right="172"/>
      </w:pPr>
      <w:r>
        <w:rPr>
          <w:rFonts w:ascii="Calibri" w:cs="Calibri" w:eastAsia="Calibri" w:hAnsi="Calibri"/>
          <w:b/>
          <w:bCs/>
          <w:color w:val="1F4E5F"/>
          <w:sz w:val="19"/>
          <w:szCs w:val="19"/>
        </w:rPr>
        <w:t xml:space="preserve">SLIDE 3</w:t>
      </w:r>
      <w:r>
        <w:rPr>
          <w:rFonts w:ascii="Calibri" w:cs="Calibri" w:eastAsia="Calibri" w:hAnsi="Calibri"/>
          <w:b/>
          <w:bCs/>
          <w:color w:val="333333"/>
          <w:sz w:val="19"/>
          <w:szCs w:val="19"/>
        </w:rPr>
        <w:t xml:space="preserve">   ·   82,486 labelled emails, identical to the benchmark</w:t>
      </w:r>
      <w:r>
        <w:rPr>
          <w:rFonts w:ascii="Calibri" w:cs="Calibri" w:eastAsia="Calibri" w:hAnsi="Calibri"/>
          <w:b/>
          <w:bCs/>
          <w:color w:val="8C4A00"/>
          <w:sz w:val="19"/>
          <w:szCs w:val="19"/>
        </w:rPr>
        <w:t xml:space="preserve">   ·   Dominic</w:t>
      </w:r>
      <w:r>
        <w:rPr>
          <w:rFonts w:ascii="Calibri" w:cs="Calibri" w:eastAsia="Calibri" w:hAnsi="Calibri"/>
          <w:i/>
          <w:iCs/>
          <w:color w:val="6B7280"/>
          <w:sz w:val="17"/>
          <w:szCs w:val="17"/>
        </w:rPr>
        <w:t xml:space="preserve">   (50 sec)</w:t>
      </w:r>
    </w:p>
    <w:p>
      <w:pPr>
        <w:spacing w:after="150" w:line="280"/>
        <w:ind w:left="215" w:right="144"/>
      </w:pPr>
      <w:r>
        <w:rPr>
          <w:rFonts w:ascii="Calibri" w:cs="Calibri" w:eastAsia="Calibri" w:hAnsi="Calibri"/>
          <w:i/>
          <w:iCs/>
          <w:sz w:val="21"/>
          <w:szCs w:val="21"/>
        </w:rPr>
        <w:t xml:space="preserve">“Thanks, Sonu. I'll walk through the data side of the project — where it came from, how we prepared it, and how we split it for evaluation.”</w:t>
      </w:r>
    </w:p>
    <w:p>
      <w:pPr>
        <w:spacing w:after="150" w:line="280"/>
        <w:ind w:left="215" w:right="144"/>
      </w:pPr>
      <w:r>
        <w:rPr>
          <w:rFonts w:ascii="Calibri" w:cs="Calibri" w:eastAsia="Calibri" w:hAnsi="Calibri"/>
          <w:i/>
          <w:iCs/>
          <w:sz w:val="21"/>
          <w:szCs w:val="21"/>
        </w:rPr>
        <w:t xml:space="preserve">“We're working with 82,486 emails: 42,891 phishing and 39,595 legitimate. This isn't a dataset we assembled ourselves — it's six merged public corpora: Enron, Ling-Spam, CEAS 2008, Nazario, Nigerian Fraud, and SpamAssassin.”</w:t>
      </w:r>
    </w:p>
    <w:p>
      <w:pPr>
        <w:spacing w:after="150" w:line="280"/>
        <w:ind w:left="215" w:right="144"/>
      </w:pPr>
      <w:r>
        <w:rPr>
          <w:rFonts w:ascii="Calibri" w:cs="Calibri" w:eastAsia="Calibri" w:hAnsi="Calibri"/>
          <w:i/>
          <w:iCs/>
          <w:sz w:val="21"/>
          <w:szCs w:val="21"/>
        </w:rPr>
        <w:t xml:space="preserve">“The important thing about this dataset is that it's the exact same one published alongside our benchmark paper. We verified that by checking the class counts — our loaded data matches the paper's reported figures precisely. That match is what makes a direct, fair comparison possible: any difference in our results comes from method, not from different data.”</w:t>
      </w:r>
    </w:p>
    <w:p>
      <w:pPr>
        <w:spacing w:after="180" w:line="260"/>
        <w:ind w:left="215"/>
      </w:pPr>
      <w:r>
        <w:rPr>
          <w:rFonts w:ascii="Calibri" w:cs="Calibri" w:eastAsia="Calibri" w:hAnsi="Calibri"/>
          <w:b/>
          <w:bCs/>
          <w:color w:val="8C4A00"/>
          <w:sz w:val="18"/>
          <w:szCs w:val="18"/>
        </w:rPr>
        <w:t xml:space="preserve">Cue: </w:t>
      </w:r>
      <w:r>
        <w:rPr>
          <w:rFonts w:ascii="Calibri" w:cs="Calibri" w:eastAsia="Calibri" w:hAnsi="Calibri"/>
          <w:i/>
          <w:iCs/>
          <w:color w:val="555555"/>
          <w:sz w:val="18"/>
          <w:szCs w:val="18"/>
        </w:rPr>
        <w:t xml:space="preserve">Let the six corpus names sit on screen for a second before moving on — don't rush past them.</w:t>
      </w:r>
    </w:p>
    <w:p>
      <w:pPr>
        <w:shd w:fill="EEF3F5" w:val="clear"/>
        <w:spacing w:after="90" w:before="280"/>
        <w:ind w:left="172" w:right="172"/>
      </w:pPr>
      <w:r>
        <w:rPr>
          <w:rFonts w:ascii="Calibri" w:cs="Calibri" w:eastAsia="Calibri" w:hAnsi="Calibri"/>
          <w:b/>
          <w:bCs/>
          <w:color w:val="1F4E5F"/>
          <w:sz w:val="19"/>
          <w:szCs w:val="19"/>
        </w:rPr>
        <w:t xml:space="preserve">SLIDE 4</w:t>
      </w:r>
      <w:r>
        <w:rPr>
          <w:rFonts w:ascii="Calibri" w:cs="Calibri" w:eastAsia="Calibri" w:hAnsi="Calibri"/>
          <w:b/>
          <w:bCs/>
          <w:color w:val="333333"/>
          <w:sz w:val="19"/>
          <w:szCs w:val="19"/>
        </w:rPr>
        <w:t xml:space="preserve">   ·   From raw text to a clean corpus</w:t>
      </w:r>
      <w:r>
        <w:rPr>
          <w:rFonts w:ascii="Calibri" w:cs="Calibri" w:eastAsia="Calibri" w:hAnsi="Calibri"/>
          <w:b/>
          <w:bCs/>
          <w:color w:val="8C4A00"/>
          <w:sz w:val="19"/>
          <w:szCs w:val="19"/>
        </w:rPr>
        <w:t xml:space="preserve">   ·   Dominic</w:t>
      </w:r>
      <w:r>
        <w:rPr>
          <w:rFonts w:ascii="Calibri" w:cs="Calibri" w:eastAsia="Calibri" w:hAnsi="Calibri"/>
          <w:i/>
          <w:iCs/>
          <w:color w:val="6B7280"/>
          <w:sz w:val="17"/>
          <w:szCs w:val="17"/>
        </w:rPr>
        <w:t xml:space="preserve">   (45 sec)</w:t>
      </w:r>
    </w:p>
    <w:p>
      <w:pPr>
        <w:spacing w:after="150" w:line="280"/>
        <w:ind w:left="215" w:right="144"/>
      </w:pPr>
      <w:r>
        <w:rPr>
          <w:rFonts w:ascii="Calibri" w:cs="Calibri" w:eastAsia="Calibri" w:hAnsi="Calibri"/>
          <w:i/>
          <w:iCs/>
          <w:sz w:val="21"/>
          <w:szCs w:val="21"/>
        </w:rPr>
        <w:t xml:space="preserve">“Before any of that data goes into a model, it goes through four cleaning steps. First, we remove incomplete rows, which is how we get to that 82,486 figure. Second, we merge the subject and body into a single text field. Third and fourth are specific to one of our later experiments — normalising URLs into a single token, and stripping HTML tags — so the model sees clean, readable text rather than markup.”</w:t>
      </w:r>
    </w:p>
    <w:p>
      <w:pPr>
        <w:spacing w:after="150" w:line="280"/>
        <w:ind w:left="215" w:right="144"/>
      </w:pPr>
      <w:r>
        <w:rPr>
          <w:rFonts w:ascii="Calibri" w:cs="Calibri" w:eastAsia="Calibri" w:hAnsi="Calibri"/>
          <w:i/>
          <w:iCs/>
          <w:sz w:val="21"/>
          <w:szCs w:val="21"/>
        </w:rPr>
        <w:t xml:space="preserve">“Those last two steps aren't part of the baseline pipeline — they were added specifically when we tested whether hand-crafted features could improve on our baseline model, which Ashraful will get to shortly.”</w:t>
      </w:r>
    </w:p>
    <w:p>
      <w:pPr>
        <w:spacing w:after="180" w:line="260"/>
        <w:ind w:left="215"/>
      </w:pPr>
      <w:r>
        <w:rPr>
          <w:rFonts w:ascii="Calibri" w:cs="Calibri" w:eastAsia="Calibri" w:hAnsi="Calibri"/>
          <w:b/>
          <w:bCs/>
          <w:color w:val="8C4A00"/>
          <w:sz w:val="18"/>
          <w:szCs w:val="18"/>
        </w:rPr>
        <w:t xml:space="preserve">Cue: </w:t>
      </w:r>
      <w:r>
        <w:rPr>
          <w:rFonts w:ascii="Calibri" w:cs="Calibri" w:eastAsia="Calibri" w:hAnsi="Calibri"/>
          <w:i/>
          <w:iCs/>
          <w:color w:val="555555"/>
          <w:sz w:val="18"/>
          <w:szCs w:val="18"/>
        </w:rPr>
        <w:t xml:space="preserve">Trace your hand left to right along the four boxes as you name each step — it mirrors the arrows on the slide.</w:t>
      </w:r>
    </w:p>
    <w:p>
      <w:pPr>
        <w:shd w:fill="EEF3F5" w:val="clear"/>
        <w:spacing w:after="90" w:before="280"/>
        <w:ind w:left="172" w:right="172"/>
      </w:pPr>
      <w:r>
        <w:rPr>
          <w:rFonts w:ascii="Calibri" w:cs="Calibri" w:eastAsia="Calibri" w:hAnsi="Calibri"/>
          <w:b/>
          <w:bCs/>
          <w:color w:val="1F4E5F"/>
          <w:sz w:val="19"/>
          <w:szCs w:val="19"/>
        </w:rPr>
        <w:t xml:space="preserve">SLIDE 5</w:t>
      </w:r>
      <w:r>
        <w:rPr>
          <w:rFonts w:ascii="Calibri" w:cs="Calibri" w:eastAsia="Calibri" w:hAnsi="Calibri"/>
          <w:b/>
          <w:bCs/>
          <w:color w:val="333333"/>
          <w:sz w:val="19"/>
          <w:szCs w:val="19"/>
        </w:rPr>
        <w:t xml:space="preserve">   ·   A reproducible train / test split</w:t>
      </w:r>
      <w:r>
        <w:rPr>
          <w:rFonts w:ascii="Calibri" w:cs="Calibri" w:eastAsia="Calibri" w:hAnsi="Calibri"/>
          <w:b/>
          <w:bCs/>
          <w:color w:val="8C4A00"/>
          <w:sz w:val="19"/>
          <w:szCs w:val="19"/>
        </w:rPr>
        <w:t xml:space="preserve">   ·   Dominic</w:t>
      </w:r>
      <w:r>
        <w:rPr>
          <w:rFonts w:ascii="Calibri" w:cs="Calibri" w:eastAsia="Calibri" w:hAnsi="Calibri"/>
          <w:i/>
          <w:iCs/>
          <w:color w:val="6B7280"/>
          <w:sz w:val="17"/>
          <w:szCs w:val="17"/>
        </w:rPr>
        <w:t xml:space="preserve">   (45 sec)</w:t>
      </w:r>
    </w:p>
    <w:p>
      <w:pPr>
        <w:spacing w:after="150" w:line="280"/>
        <w:ind w:left="215" w:right="144"/>
      </w:pPr>
      <w:r>
        <w:rPr>
          <w:rFonts w:ascii="Calibri" w:cs="Calibri" w:eastAsia="Calibri" w:hAnsi="Calibri"/>
          <w:i/>
          <w:iCs/>
          <w:sz w:val="21"/>
          <w:szCs w:val="21"/>
        </w:rPr>
        <w:t xml:space="preserve">“Once the data's clean, we split it 80/20 — about 66,000 emails for training, and roughly 16,500 held back entirely for testing. That split is stratified, meaning the phishing-to-legitimate ratio stays the same in both halves.”</w:t>
      </w:r>
    </w:p>
    <w:p>
      <w:pPr>
        <w:spacing w:after="150" w:line="280"/>
        <w:ind w:left="215" w:right="144"/>
      </w:pPr>
      <w:r>
        <w:rPr>
          <w:rFonts w:ascii="Calibri" w:cs="Calibri" w:eastAsia="Calibri" w:hAnsi="Calibri"/>
          <w:i/>
          <w:iCs/>
          <w:sz w:val="21"/>
          <w:szCs w:val="21"/>
        </w:rPr>
        <w:t xml:space="preserve">“Two things make this reproducible. First, we fixed the random seed at 42, so anyone re-running our code gets the identical split and identical results. Second, we later added five-fold cross-validation on top of this — training the model five separate times on five different slices of the data — which confirmed our headline result of 99.233 percent F1 is stable, not just a lucky split.”</w:t>
      </w:r>
    </w:p>
    <w:p>
      <w:pPr>
        <w:spacing w:after="180" w:line="260"/>
        <w:ind w:left="215"/>
      </w:pPr>
      <w:r>
        <w:rPr>
          <w:rFonts w:ascii="Calibri" w:cs="Calibri" w:eastAsia="Calibri" w:hAnsi="Calibri"/>
          <w:b/>
          <w:bCs/>
          <w:color w:val="8C4A00"/>
          <w:sz w:val="18"/>
          <w:szCs w:val="18"/>
        </w:rPr>
        <w:t xml:space="preserve">Cue: </w:t>
      </w:r>
      <w:r>
        <w:rPr>
          <w:rFonts w:ascii="Calibri" w:cs="Calibri" w:eastAsia="Calibri" w:hAnsi="Calibri"/>
          <w:i/>
          <w:iCs/>
          <w:color w:val="555555"/>
          <w:sz w:val="18"/>
          <w:szCs w:val="18"/>
        </w:rPr>
        <w:t xml:space="preserve">This is a natural handoff point. Look toward Ashraful as you finish.</w:t>
      </w:r>
    </w:p>
    <w:p>
      <w:pPr>
        <w:pStyle w:val="Heading1"/>
        <w:spacing w:after="140" w:before="320"/>
      </w:pPr>
      <w:r>
        <w:rPr>
          <w:rFonts w:ascii="Calibri" w:cs="Calibri" w:eastAsia="Calibri" w:hAnsi="Calibri"/>
          <w:b/>
          <w:bCs/>
          <w:color w:val="1F4E5F"/>
          <w:sz w:val="27"/>
          <w:szCs w:val="27"/>
        </w:rPr>
        <w:t xml:space="preserve">Feature Engineering &amp; MVP Workflow — Ashraful</w:t>
      </w:r>
    </w:p>
    <w:p>
      <w:pPr>
        <w:shd w:fill="EEF3F5" w:val="clear"/>
        <w:spacing w:after="90" w:before="280"/>
        <w:ind w:left="172" w:right="172"/>
      </w:pPr>
      <w:r>
        <w:rPr>
          <w:rFonts w:ascii="Calibri" w:cs="Calibri" w:eastAsia="Calibri" w:hAnsi="Calibri"/>
          <w:b/>
          <w:bCs/>
          <w:color w:val="1F4E5F"/>
          <w:sz w:val="19"/>
          <w:szCs w:val="19"/>
        </w:rPr>
        <w:t xml:space="preserve">SLIDE 6</w:t>
      </w:r>
      <w:r>
        <w:rPr>
          <w:rFonts w:ascii="Calibri" w:cs="Calibri" w:eastAsia="Calibri" w:hAnsi="Calibri"/>
          <w:b/>
          <w:bCs/>
          <w:color w:val="333333"/>
          <w:sz w:val="19"/>
          <w:szCs w:val="19"/>
        </w:rPr>
        <w:t xml:space="preserve">   ·   Representing email text as numbers</w:t>
      </w:r>
      <w:r>
        <w:rPr>
          <w:rFonts w:ascii="Calibri" w:cs="Calibri" w:eastAsia="Calibri" w:hAnsi="Calibri"/>
          <w:b/>
          <w:bCs/>
          <w:color w:val="8C4A00"/>
          <w:sz w:val="19"/>
          <w:szCs w:val="19"/>
        </w:rPr>
        <w:t xml:space="preserve">   ·   Ashraful</w:t>
      </w:r>
      <w:r>
        <w:rPr>
          <w:rFonts w:ascii="Calibri" w:cs="Calibri" w:eastAsia="Calibri" w:hAnsi="Calibri"/>
          <w:i/>
          <w:iCs/>
          <w:color w:val="6B7280"/>
          <w:sz w:val="17"/>
          <w:szCs w:val="17"/>
        </w:rPr>
        <w:t xml:space="preserve">   (55 sec)</w:t>
      </w:r>
    </w:p>
    <w:p>
      <w:pPr>
        <w:spacing w:after="150" w:line="280"/>
        <w:ind w:left="215" w:right="144"/>
      </w:pPr>
      <w:r>
        <w:rPr>
          <w:rFonts w:ascii="Calibri" w:cs="Calibri" w:eastAsia="Calibri" w:hAnsi="Calibri"/>
          <w:i/>
          <w:iCs/>
          <w:sz w:val="21"/>
          <w:szCs w:val="21"/>
        </w:rPr>
        <w:t xml:space="preserve">“Thanks, Dominic. A machine learning model can't read English — it needs numbers. Our baseline approach is TF-IDF: we take the fifty thousand most informative words and word-pairs across the whole corpus, and score each one by how distinctive it is to a particular email.”</w:t>
      </w:r>
    </w:p>
    <w:p>
      <w:pPr>
        <w:spacing w:after="150" w:line="280"/>
        <w:ind w:left="215" w:right="144"/>
      </w:pPr>
      <w:r>
        <w:rPr>
          <w:rFonts w:ascii="Calibri" w:cs="Calibri" w:eastAsia="Calibri" w:hAnsi="Calibri"/>
          <w:i/>
          <w:iCs/>
          <w:sz w:val="21"/>
          <w:szCs w:val="21"/>
        </w:rPr>
        <w:t xml:space="preserve">“We also tested six hand-crafted signals as an extension — things like message length, URL count, and how many phishing-style keywords appear. The honest finding here is that these engineered features added nothing measurable. Our F1 score stayed at exactly 99.16 percent with or without them. The reason is straightforward: TF-IDF was already picking up on those same words directly, so the extra features were redundant rather than adding new information.”</w:t>
      </w:r>
    </w:p>
    <w:p>
      <w:pPr>
        <w:spacing w:after="180" w:line="260"/>
        <w:ind w:left="215"/>
      </w:pPr>
      <w:r>
        <w:rPr>
          <w:rFonts w:ascii="Calibri" w:cs="Calibri" w:eastAsia="Calibri" w:hAnsi="Calibri"/>
          <w:b/>
          <w:bCs/>
          <w:color w:val="8C4A00"/>
          <w:sz w:val="18"/>
          <w:szCs w:val="18"/>
        </w:rPr>
        <w:t xml:space="preserve">Cue: </w:t>
      </w:r>
      <w:r>
        <w:rPr>
          <w:rFonts w:ascii="Calibri" w:cs="Calibri" w:eastAsia="Calibri" w:hAnsi="Calibri"/>
          <w:i/>
          <w:iCs/>
          <w:color w:val="555555"/>
          <w:sz w:val="18"/>
          <w:szCs w:val="18"/>
        </w:rPr>
        <w:t xml:space="preserve">Don't undersell this as a failure — frame it as a genuine, useful finding. It's evidence, not a wasted experiment.</w:t>
      </w:r>
    </w:p>
    <w:p>
      <w:pPr>
        <w:shd w:fill="EEF3F5" w:val="clear"/>
        <w:spacing w:after="90" w:before="280"/>
        <w:ind w:left="172" w:right="172"/>
      </w:pPr>
      <w:r>
        <w:rPr>
          <w:rFonts w:ascii="Calibri" w:cs="Calibri" w:eastAsia="Calibri" w:hAnsi="Calibri"/>
          <w:b/>
          <w:bCs/>
          <w:color w:val="1F4E5F"/>
          <w:sz w:val="19"/>
          <w:szCs w:val="19"/>
        </w:rPr>
        <w:t xml:space="preserve">SLIDE 7</w:t>
      </w:r>
      <w:r>
        <w:rPr>
          <w:rFonts w:ascii="Calibri" w:cs="Calibri" w:eastAsia="Calibri" w:hAnsi="Calibri"/>
          <w:b/>
          <w:bCs/>
          <w:color w:val="333333"/>
          <w:sz w:val="19"/>
          <w:szCs w:val="19"/>
        </w:rPr>
        <w:t xml:space="preserve">   ·   Three independent services, one pipeline</w:t>
      </w:r>
      <w:r>
        <w:rPr>
          <w:rFonts w:ascii="Calibri" w:cs="Calibri" w:eastAsia="Calibri" w:hAnsi="Calibri"/>
          <w:b/>
          <w:bCs/>
          <w:color w:val="8C4A00"/>
          <w:sz w:val="19"/>
          <w:szCs w:val="19"/>
        </w:rPr>
        <w:t xml:space="preserve">   ·   Ashraful</w:t>
      </w:r>
      <w:r>
        <w:rPr>
          <w:rFonts w:ascii="Calibri" w:cs="Calibri" w:eastAsia="Calibri" w:hAnsi="Calibri"/>
          <w:i/>
          <w:iCs/>
          <w:color w:val="6B7280"/>
          <w:sz w:val="17"/>
          <w:szCs w:val="17"/>
        </w:rPr>
        <w:t xml:space="preserve">   (55 sec)</w:t>
      </w:r>
    </w:p>
    <w:p>
      <w:pPr>
        <w:spacing w:after="150" w:line="280"/>
        <w:ind w:left="215" w:right="144"/>
      </w:pPr>
      <w:r>
        <w:rPr>
          <w:rFonts w:ascii="Calibri" w:cs="Calibri" w:eastAsia="Calibri" w:hAnsi="Calibri"/>
          <w:i/>
          <w:iCs/>
          <w:sz w:val="21"/>
          <w:szCs w:val="21"/>
        </w:rPr>
        <w:t xml:space="preserve">“Here's how the system is actually built. We have three independent services: detection, which classifies emails; URL verification, which checks links against heuristics and a tamper-evident record; and training, which delivers adaptive awareness lessons. Each runs on its own port and its own dataset.”</w:t>
      </w:r>
    </w:p>
    <w:p>
      <w:pPr>
        <w:spacing w:after="150" w:line="280"/>
        <w:ind w:left="215" w:right="144"/>
      </w:pPr>
      <w:r>
        <w:rPr>
          <w:rFonts w:ascii="Calibri" w:cs="Calibri" w:eastAsia="Calibri" w:hAnsi="Calibri"/>
          <w:i/>
          <w:iCs/>
          <w:sz w:val="21"/>
          <w:szCs w:val="21"/>
        </w:rPr>
        <w:t xml:space="preserve">“For a single email, the pipeline is: the text comes in, gets converted to a TF-IDF vector, goes through the classifier, and then through an explainability step that surfaces which words drove the decision, before returning a JSON response. And this is fast — detection takes seven to eleven milliseconds, URL verification about one and a half to nine milliseconds. Both are far under our two-second target.”</w:t>
      </w:r>
    </w:p>
    <w:p>
      <w:pPr>
        <w:spacing w:after="180" w:line="260"/>
        <w:ind w:left="215"/>
      </w:pPr>
      <w:r>
        <w:rPr>
          <w:rFonts w:ascii="Calibri" w:cs="Calibri" w:eastAsia="Calibri" w:hAnsi="Calibri"/>
          <w:b/>
          <w:bCs/>
          <w:color w:val="8C4A00"/>
          <w:sz w:val="18"/>
          <w:szCs w:val="18"/>
        </w:rPr>
        <w:t xml:space="preserve">Cue: </w:t>
      </w:r>
      <w:r>
        <w:rPr>
          <w:rFonts w:ascii="Calibri" w:cs="Calibri" w:eastAsia="Calibri" w:hAnsi="Calibri"/>
          <w:i/>
          <w:iCs/>
          <w:color w:val="555555"/>
          <w:sz w:val="18"/>
          <w:szCs w:val="18"/>
        </w:rPr>
        <w:t xml:space="preserve">Use your hand to trace the pipeline flow left to right along the bottom row.</w:t>
      </w:r>
    </w:p>
    <w:p>
      <w:pPr>
        <w:shd w:fill="EEF3F5" w:val="clear"/>
        <w:spacing w:after="90" w:before="280"/>
        <w:ind w:left="172" w:right="172"/>
      </w:pPr>
      <w:r>
        <w:rPr>
          <w:rFonts w:ascii="Calibri" w:cs="Calibri" w:eastAsia="Calibri" w:hAnsi="Calibri"/>
          <w:b/>
          <w:bCs/>
          <w:color w:val="1F4E5F"/>
          <w:sz w:val="19"/>
          <w:szCs w:val="19"/>
        </w:rPr>
        <w:t xml:space="preserve">SLIDE 8</w:t>
      </w:r>
      <w:r>
        <w:rPr>
          <w:rFonts w:ascii="Calibri" w:cs="Calibri" w:eastAsia="Calibri" w:hAnsi="Calibri"/>
          <w:b/>
          <w:bCs/>
          <w:color w:val="333333"/>
          <w:sz w:val="19"/>
          <w:szCs w:val="19"/>
        </w:rPr>
        <w:t xml:space="preserve">   ·   Six methods, three purposes</w:t>
      </w:r>
      <w:r>
        <w:rPr>
          <w:rFonts w:ascii="Calibri" w:cs="Calibri" w:eastAsia="Calibri" w:hAnsi="Calibri"/>
          <w:b/>
          <w:bCs/>
          <w:color w:val="8C4A00"/>
          <w:sz w:val="19"/>
          <w:szCs w:val="19"/>
        </w:rPr>
        <w:t xml:space="preserve">   ·   Ashraful</w:t>
      </w:r>
      <w:r>
        <w:rPr>
          <w:rFonts w:ascii="Calibri" w:cs="Calibri" w:eastAsia="Calibri" w:hAnsi="Calibri"/>
          <w:i/>
          <w:iCs/>
          <w:color w:val="6B7280"/>
          <w:sz w:val="17"/>
          <w:szCs w:val="17"/>
        </w:rPr>
        <w:t xml:space="preserve">   (40 sec)</w:t>
      </w:r>
    </w:p>
    <w:p>
      <w:pPr>
        <w:spacing w:after="150" w:line="280"/>
        <w:ind w:left="215" w:right="144"/>
      </w:pPr>
      <w:r>
        <w:rPr>
          <w:rFonts w:ascii="Calibri" w:cs="Calibri" w:eastAsia="Calibri" w:hAnsi="Calibri"/>
          <w:i/>
          <w:iCs/>
          <w:sz w:val="21"/>
          <w:szCs w:val="21"/>
        </w:rPr>
        <w:t xml:space="preserve">“We didn't stop at one model. We evaluated six methods across three categories. Three of them — SVC, Random Forest, and Multinomial Naive Bayes — replicate exactly what our benchmark paper tested. Two — Logistic Regression and XGBoost — extend beyond the paper. And one, DistilBERT, tests a completely different approach: a transformer, rather than the bag-of-words representation the other five use.”</w:t>
      </w:r>
    </w:p>
    <w:p>
      <w:pPr>
        <w:spacing w:after="150" w:line="280"/>
        <w:ind w:left="215" w:right="144"/>
      </w:pPr>
      <w:r>
        <w:rPr>
          <w:rFonts w:ascii="Calibri" w:cs="Calibri" w:eastAsia="Calibri" w:hAnsi="Calibri"/>
          <w:i/>
          <w:iCs/>
          <w:sz w:val="21"/>
          <w:szCs w:val="21"/>
        </w:rPr>
        <w:t xml:space="preserve">“Every one of these ran on the identical dataset, split, and evaluation setup, so any difference between them is genuinely down to the method — not to different conditions. I'll hand over to Huzaifa now, who'll walk through what these models actually achieved.”</w:t>
      </w:r>
    </w:p>
    <w:p>
      <w:pPr>
        <w:spacing w:after="180" w:line="260"/>
        <w:ind w:left="215"/>
      </w:pPr>
      <w:r>
        <w:rPr>
          <w:rFonts w:ascii="Calibri" w:cs="Calibri" w:eastAsia="Calibri" w:hAnsi="Calibri"/>
          <w:b/>
          <w:bCs/>
          <w:color w:val="8C4A00"/>
          <w:sz w:val="18"/>
          <w:szCs w:val="18"/>
        </w:rPr>
        <w:t xml:space="preserve">Cue: </w:t>
      </w:r>
      <w:r>
        <w:rPr>
          <w:rFonts w:ascii="Calibri" w:cs="Calibri" w:eastAsia="Calibri" w:hAnsi="Calibri"/>
          <w:i/>
          <w:iCs/>
          <w:color w:val="555555"/>
          <w:sz w:val="18"/>
          <w:szCs w:val="18"/>
        </w:rPr>
        <w:t xml:space="preserve">This is the handoff to Huzaifa — make eye contact and pause briefly before they begin.</w:t>
      </w:r>
    </w:p>
    <w:p>
      <w:pPr>
        <w:pStyle w:val="Heading1"/>
        <w:spacing w:after="140" w:before="320"/>
      </w:pPr>
      <w:r>
        <w:rPr>
          <w:rFonts w:ascii="Calibri" w:cs="Calibri" w:eastAsia="Calibri" w:hAnsi="Calibri"/>
          <w:b/>
          <w:bCs/>
          <w:color w:val="1F4E5F"/>
          <w:sz w:val="27"/>
          <w:szCs w:val="27"/>
        </w:rPr>
        <w:t xml:space="preserve">Outputs &amp; Limitations — Huzaifa</w:t>
      </w:r>
    </w:p>
    <w:p>
      <w:pPr>
        <w:shd w:fill="EEF3F5" w:val="clear"/>
        <w:spacing w:after="90" w:before="280"/>
        <w:ind w:left="172" w:right="172"/>
      </w:pPr>
      <w:r>
        <w:rPr>
          <w:rFonts w:ascii="Calibri" w:cs="Calibri" w:eastAsia="Calibri" w:hAnsi="Calibri"/>
          <w:b/>
          <w:bCs/>
          <w:color w:val="1F4E5F"/>
          <w:sz w:val="19"/>
          <w:szCs w:val="19"/>
        </w:rPr>
        <w:t xml:space="preserve">SLIDE 9</w:t>
      </w:r>
      <w:r>
        <w:rPr>
          <w:rFonts w:ascii="Calibri" w:cs="Calibri" w:eastAsia="Calibri" w:hAnsi="Calibri"/>
          <w:b/>
          <w:bCs/>
          <w:color w:val="333333"/>
          <w:sz w:val="19"/>
          <w:szCs w:val="19"/>
        </w:rPr>
        <w:t xml:space="preserve">   ·   SVC replicates the published benchmark</w:t>
      </w:r>
      <w:r>
        <w:rPr>
          <w:rFonts w:ascii="Calibri" w:cs="Calibri" w:eastAsia="Calibri" w:hAnsi="Calibri"/>
          <w:b/>
          <w:bCs/>
          <w:color w:val="8C4A00"/>
          <w:sz w:val="19"/>
          <w:szCs w:val="19"/>
        </w:rPr>
        <w:t xml:space="preserve">   ·   Huzaifa</w:t>
      </w:r>
      <w:r>
        <w:rPr>
          <w:rFonts w:ascii="Calibri" w:cs="Calibri" w:eastAsia="Calibri" w:hAnsi="Calibri"/>
          <w:i/>
          <w:iCs/>
          <w:color w:val="6B7280"/>
          <w:sz w:val="17"/>
          <w:szCs w:val="17"/>
        </w:rPr>
        <w:t xml:space="preserve">   (55 sec)</w:t>
      </w:r>
    </w:p>
    <w:p>
      <w:pPr>
        <w:spacing w:after="150" w:line="280"/>
        <w:ind w:left="215" w:right="144"/>
      </w:pPr>
      <w:r>
        <w:rPr>
          <w:rFonts w:ascii="Calibri" w:cs="Calibri" w:eastAsia="Calibri" w:hAnsi="Calibri"/>
          <w:i/>
          <w:iCs/>
          <w:sz w:val="21"/>
          <w:szCs w:val="21"/>
        </w:rPr>
        <w:t xml:space="preserve">“Thanks, Ashraful. Starting with the headline number: our SVC model achieved an F1 score of 99.16 percent, against the published benchmark's 99.0 percent. That's a genuine, independent replication of a Q1-published result.”</w:t>
      </w:r>
    </w:p>
    <w:p>
      <w:pPr>
        <w:spacing w:after="150" w:line="280"/>
        <w:ind w:left="215" w:right="144"/>
      </w:pPr>
      <w:r>
        <w:rPr>
          <w:rFonts w:ascii="Calibri" w:cs="Calibri" w:eastAsia="Calibri" w:hAnsi="Calibri"/>
          <w:i/>
          <w:iCs/>
          <w:sz w:val="21"/>
          <w:szCs w:val="21"/>
        </w:rPr>
        <w:t xml:space="preserve">“Looking at the full comparison, SVC is clearly strongest, followed by Random Forest and Logistic Regression close together, then XGBoost and Naive Bayes. On the right, three numbers worth remembering: 99.16 percent F1, a false-positive rate of just 0.95 percent, and a total error count of 145 — that's 75 false positives and 70 false negatives out of over sixteen thousand test emails.”</w:t>
      </w:r>
    </w:p>
    <w:p>
      <w:pPr>
        <w:spacing w:after="180" w:line="260"/>
        <w:ind w:left="215"/>
      </w:pPr>
      <w:r>
        <w:rPr>
          <w:rFonts w:ascii="Calibri" w:cs="Calibri" w:eastAsia="Calibri" w:hAnsi="Calibri"/>
          <w:b/>
          <w:bCs/>
          <w:color w:val="8C4A00"/>
          <w:sz w:val="18"/>
          <w:szCs w:val="18"/>
        </w:rPr>
        <w:t xml:space="preserve">Cue: </w:t>
      </w:r>
      <w:r>
        <w:rPr>
          <w:rFonts w:ascii="Calibri" w:cs="Calibri" w:eastAsia="Calibri" w:hAnsi="Calibri"/>
          <w:i/>
          <w:iCs/>
          <w:color w:val="555555"/>
          <w:sz w:val="18"/>
          <w:szCs w:val="18"/>
        </w:rPr>
        <w:t xml:space="preserve">Let the chart sit on screen while you talk — don't rush past it. This is your strongest visual.</w:t>
      </w:r>
    </w:p>
    <w:p>
      <w:pPr>
        <w:shd w:fill="EEF3F5" w:val="clear"/>
        <w:spacing w:after="90" w:before="280"/>
        <w:ind w:left="172" w:right="172"/>
      </w:pPr>
      <w:r>
        <w:rPr>
          <w:rFonts w:ascii="Calibri" w:cs="Calibri" w:eastAsia="Calibri" w:hAnsi="Calibri"/>
          <w:b/>
          <w:bCs/>
          <w:color w:val="1F4E5F"/>
          <w:sz w:val="19"/>
          <w:szCs w:val="19"/>
        </w:rPr>
        <w:t xml:space="preserve">SLIDE 10</w:t>
      </w:r>
      <w:r>
        <w:rPr>
          <w:rFonts w:ascii="Calibri" w:cs="Calibri" w:eastAsia="Calibri" w:hAnsi="Calibri"/>
          <w:b/>
          <w:bCs/>
          <w:color w:val="333333"/>
          <w:sz w:val="19"/>
          <w:szCs w:val="19"/>
        </w:rPr>
        <w:t xml:space="preserve">   ·   Results hold up under scrutiny</w:t>
      </w:r>
      <w:r>
        <w:rPr>
          <w:rFonts w:ascii="Calibri" w:cs="Calibri" w:eastAsia="Calibri" w:hAnsi="Calibri"/>
          <w:b/>
          <w:bCs/>
          <w:color w:val="8C4A00"/>
          <w:sz w:val="19"/>
          <w:szCs w:val="19"/>
        </w:rPr>
        <w:t xml:space="preserve">   ·   Huzaifa</w:t>
      </w:r>
      <w:r>
        <w:rPr>
          <w:rFonts w:ascii="Calibri" w:cs="Calibri" w:eastAsia="Calibri" w:hAnsi="Calibri"/>
          <w:i/>
          <w:iCs/>
          <w:color w:val="6B7280"/>
          <w:sz w:val="17"/>
          <w:szCs w:val="17"/>
        </w:rPr>
        <w:t xml:space="preserve">   (55 sec)</w:t>
      </w:r>
    </w:p>
    <w:p>
      <w:pPr>
        <w:spacing w:after="150" w:line="280"/>
        <w:ind w:left="215" w:right="144"/>
      </w:pPr>
      <w:r>
        <w:rPr>
          <w:rFonts w:ascii="Calibri" w:cs="Calibri" w:eastAsia="Calibri" w:hAnsi="Calibri"/>
          <w:i/>
          <w:iCs/>
          <w:sz w:val="21"/>
          <w:szCs w:val="21"/>
        </w:rPr>
        <w:t xml:space="preserve">“A single result can be misleading if it's just one lucky train-test split. So we went further. Five-fold cross-validation gives us 99.233 percent, plus or minus just 0.086 percent — extremely stable across folds.”</w:t>
      </w:r>
    </w:p>
    <w:p>
      <w:pPr>
        <w:spacing w:after="150" w:line="280"/>
        <w:ind w:left="215" w:right="144"/>
      </w:pPr>
      <w:r>
        <w:rPr>
          <w:rFonts w:ascii="Calibri" w:cs="Calibri" w:eastAsia="Calibri" w:hAnsi="Calibri"/>
          <w:i/>
          <w:iCs/>
          <w:sz w:val="21"/>
          <w:szCs w:val="21"/>
        </w:rPr>
        <w:t xml:space="preserve">“We also ran a formal significance test comparing SVC against its nearest competitor, Random Forest. The result — a p-value of 0.0001 — tells us SVC's advantage is real, not statistical noise. On top of that, our latency numbers stayed well under target, and our full test suite — 23 tests covering both success and failure cases — all pass.”</w:t>
      </w:r>
    </w:p>
    <w:p>
      <w:pPr>
        <w:spacing w:after="150" w:line="280"/>
        <w:ind w:left="215" w:right="144"/>
      </w:pPr>
      <w:r>
        <w:rPr>
          <w:rFonts w:ascii="Calibri" w:cs="Calibri" w:eastAsia="Calibri" w:hAnsi="Calibri"/>
          <w:i/>
          <w:iCs/>
          <w:sz w:val="21"/>
          <w:szCs w:val="21"/>
        </w:rPr>
        <w:t xml:space="preserve">“Put together, this isn't just a model that scored well once. It's a result we can defend statistically.”</w:t>
      </w:r>
    </w:p>
    <w:p>
      <w:pPr>
        <w:spacing w:after="180" w:line="260"/>
        <w:ind w:left="215"/>
      </w:pPr>
      <w:r>
        <w:rPr>
          <w:rFonts w:ascii="Calibri" w:cs="Calibri" w:eastAsia="Calibri" w:hAnsi="Calibri"/>
          <w:b/>
          <w:bCs/>
          <w:color w:val="8C4A00"/>
          <w:sz w:val="18"/>
          <w:szCs w:val="18"/>
        </w:rPr>
        <w:t xml:space="preserve">Cue: </w:t>
      </w:r>
      <w:r>
        <w:rPr>
          <w:rFonts w:ascii="Calibri" w:cs="Calibri" w:eastAsia="Calibri" w:hAnsi="Calibri"/>
          <w:i/>
          <w:iCs/>
          <w:color w:val="555555"/>
          <w:sz w:val="18"/>
          <w:szCs w:val="18"/>
        </w:rPr>
        <w:t xml:space="preserve">The four cards on this slide are your evidence base — if anyone questions the results later, this is the slide to point back to.</w:t>
      </w:r>
    </w:p>
    <w:p>
      <w:pPr>
        <w:shd w:fill="EEF3F5" w:val="clear"/>
        <w:spacing w:after="90" w:before="280"/>
        <w:ind w:left="172" w:right="172"/>
      </w:pPr>
      <w:r>
        <w:rPr>
          <w:rFonts w:ascii="Calibri" w:cs="Calibri" w:eastAsia="Calibri" w:hAnsi="Calibri"/>
          <w:b/>
          <w:bCs/>
          <w:color w:val="1F4E5F"/>
          <w:sz w:val="19"/>
          <w:szCs w:val="19"/>
        </w:rPr>
        <w:t xml:space="preserve">SLIDE 11</w:t>
      </w:r>
      <w:r>
        <w:rPr>
          <w:rFonts w:ascii="Calibri" w:cs="Calibri" w:eastAsia="Calibri" w:hAnsi="Calibri"/>
          <w:b/>
          <w:bCs/>
          <w:color w:val="333333"/>
          <w:sz w:val="19"/>
          <w:szCs w:val="19"/>
        </w:rPr>
        <w:t xml:space="preserve">   ·   What the MVP does not yet cover</w:t>
      </w:r>
      <w:r>
        <w:rPr>
          <w:rFonts w:ascii="Calibri" w:cs="Calibri" w:eastAsia="Calibri" w:hAnsi="Calibri"/>
          <w:b/>
          <w:bCs/>
          <w:color w:val="8C4A00"/>
          <w:sz w:val="19"/>
          <w:szCs w:val="19"/>
        </w:rPr>
        <w:t xml:space="preserve">   ·   Huzaifa</w:t>
      </w:r>
      <w:r>
        <w:rPr>
          <w:rFonts w:ascii="Calibri" w:cs="Calibri" w:eastAsia="Calibri" w:hAnsi="Calibri"/>
          <w:i/>
          <w:iCs/>
          <w:color w:val="6B7280"/>
          <w:sz w:val="17"/>
          <w:szCs w:val="17"/>
        </w:rPr>
        <w:t xml:space="preserve">   (50 sec)</w:t>
      </w:r>
    </w:p>
    <w:p>
      <w:pPr>
        <w:spacing w:after="150" w:line="280"/>
        <w:ind w:left="215" w:right="144"/>
      </w:pPr>
      <w:r>
        <w:rPr>
          <w:rFonts w:ascii="Calibri" w:cs="Calibri" w:eastAsia="Calibri" w:hAnsi="Calibri"/>
          <w:i/>
          <w:iCs/>
          <w:sz w:val="21"/>
          <w:szCs w:val="21"/>
        </w:rPr>
        <w:t xml:space="preserve">“Every project has limitations, and we'd rather state ours clearly than have them discovered for us. First: there's no production authentication in this MVP. Our own OWASP security review flagged three High-severity findings, and all three trace back to that single deferred decision.”</w:t>
      </w:r>
    </w:p>
    <w:p>
      <w:pPr>
        <w:spacing w:after="150" w:line="280"/>
        <w:ind w:left="215" w:right="144"/>
      </w:pPr>
      <w:r>
        <w:rPr>
          <w:rFonts w:ascii="Calibri" w:cs="Calibri" w:eastAsia="Calibri" w:hAnsi="Calibri"/>
          <w:i/>
          <w:iCs/>
          <w:sz w:val="21"/>
          <w:szCs w:val="21"/>
        </w:rPr>
        <w:t xml:space="preserve">“Second, we've only tested on public research data — not live institutional traffic — so we haven't yet verified how this performs in the real world. And third, our DistilBERT experiment was trained on only about seven percent of our corpus, due to CPU constraints, so we can't yet say definitively whether transformers would beat our classical ceiling.”</w:t>
      </w:r>
    </w:p>
    <w:p>
      <w:pPr>
        <w:spacing w:after="150" w:line="280"/>
        <w:ind w:left="215" w:right="144"/>
      </w:pPr>
      <w:r>
        <w:rPr>
          <w:rFonts w:ascii="Calibri" w:cs="Calibri" w:eastAsia="Calibri" w:hAnsi="Calibri"/>
          <w:i/>
          <w:iCs/>
          <w:sz w:val="21"/>
          <w:szCs w:val="21"/>
        </w:rPr>
        <w:t xml:space="preserve">“These aren't oversights — they're scoped, documented trade-offs, and every one of them has a planned next step, which Sonu will cover now.”</w:t>
      </w:r>
    </w:p>
    <w:p>
      <w:pPr>
        <w:spacing w:after="180" w:line="260"/>
        <w:ind w:left="215"/>
      </w:pPr>
      <w:r>
        <w:rPr>
          <w:rFonts w:ascii="Calibri" w:cs="Calibri" w:eastAsia="Calibri" w:hAnsi="Calibri"/>
          <w:b/>
          <w:bCs/>
          <w:color w:val="8C4A00"/>
          <w:sz w:val="18"/>
          <w:szCs w:val="18"/>
        </w:rPr>
        <w:t xml:space="preserve">Cue: </w:t>
      </w:r>
      <w:r>
        <w:rPr>
          <w:rFonts w:ascii="Calibri" w:cs="Calibri" w:eastAsia="Calibri" w:hAnsi="Calibri"/>
          <w:i/>
          <w:iCs/>
          <w:color w:val="555555"/>
          <w:sz w:val="18"/>
          <w:szCs w:val="18"/>
        </w:rPr>
        <w:t xml:space="preserve">Keep this measured, not apologetic — these are honest, sensible MVP boundaries, not failures.</w:t>
      </w:r>
    </w:p>
    <w:p>
      <w:pPr>
        <w:pStyle w:val="Heading1"/>
        <w:spacing w:after="140" w:before="320"/>
      </w:pPr>
      <w:r>
        <w:rPr>
          <w:rFonts w:ascii="Calibri" w:cs="Calibri" w:eastAsia="Calibri" w:hAnsi="Calibri"/>
          <w:b/>
          <w:bCs/>
          <w:color w:val="1F4E5F"/>
          <w:sz w:val="27"/>
          <w:szCs w:val="27"/>
        </w:rPr>
        <w:t xml:space="preserve">Planned Improvements — Sonu</w:t>
      </w:r>
    </w:p>
    <w:p>
      <w:pPr>
        <w:shd w:fill="EEF3F5" w:val="clear"/>
        <w:spacing w:after="90" w:before="280"/>
        <w:ind w:left="172" w:right="172"/>
      </w:pPr>
      <w:r>
        <w:rPr>
          <w:rFonts w:ascii="Calibri" w:cs="Calibri" w:eastAsia="Calibri" w:hAnsi="Calibri"/>
          <w:b/>
          <w:bCs/>
          <w:color w:val="1F4E5F"/>
          <w:sz w:val="19"/>
          <w:szCs w:val="19"/>
        </w:rPr>
        <w:t xml:space="preserve">SLIDE 12</w:t>
      </w:r>
      <w:r>
        <w:rPr>
          <w:rFonts w:ascii="Calibri" w:cs="Calibri" w:eastAsia="Calibri" w:hAnsi="Calibri"/>
          <w:b/>
          <w:bCs/>
          <w:color w:val="333333"/>
          <w:sz w:val="19"/>
          <w:szCs w:val="19"/>
        </w:rPr>
        <w:t xml:space="preserve">   ·   Closing the technical gaps</w:t>
      </w:r>
      <w:r>
        <w:rPr>
          <w:rFonts w:ascii="Calibri" w:cs="Calibri" w:eastAsia="Calibri" w:hAnsi="Calibri"/>
          <w:b/>
          <w:bCs/>
          <w:color w:val="8C4A00"/>
          <w:sz w:val="19"/>
          <w:szCs w:val="19"/>
        </w:rPr>
        <w:t xml:space="preserve">   ·   Sonu</w:t>
      </w:r>
      <w:r>
        <w:rPr>
          <w:rFonts w:ascii="Calibri" w:cs="Calibri" w:eastAsia="Calibri" w:hAnsi="Calibri"/>
          <w:i/>
          <w:iCs/>
          <w:color w:val="6B7280"/>
          <w:sz w:val="17"/>
          <w:szCs w:val="17"/>
        </w:rPr>
        <w:t xml:space="preserve">   (50 sec)</w:t>
      </w:r>
    </w:p>
    <w:p>
      <w:pPr>
        <w:spacing w:after="150" w:line="280"/>
        <w:ind w:left="215" w:right="144"/>
      </w:pPr>
      <w:r>
        <w:rPr>
          <w:rFonts w:ascii="Calibri" w:cs="Calibri" w:eastAsia="Calibri" w:hAnsi="Calibri"/>
          <w:i/>
          <w:iCs/>
          <w:sz w:val="21"/>
          <w:szCs w:val="21"/>
        </w:rPr>
        <w:t xml:space="preserve">“Thanks, Huzaifa. Picking up from those limitations — here's what's next. Top priority is a full-scale DistilBERT run on the complete corpus using GPU resources. That's the one experiment that would let us say definitively whether a transformer can beat our classical ceiling, rather than just being viable.”</w:t>
      </w:r>
    </w:p>
    <w:p>
      <w:pPr>
        <w:spacing w:after="150" w:line="280"/>
        <w:ind w:left="215" w:right="144"/>
      </w:pPr>
      <w:r>
        <w:rPr>
          <w:rFonts w:ascii="Calibri" w:cs="Calibri" w:eastAsia="Calibri" w:hAnsi="Calibri"/>
          <w:i/>
          <w:iCs/>
          <w:sz w:val="21"/>
          <w:szCs w:val="21"/>
        </w:rPr>
        <w:t xml:space="preserve">“Second, closing the security gap: production authentication, role-based access control, and rate limiting on our write endpoints. Third, a broader hyperparameter search — we've only tuned one parameter so far, and there's more to explore around loss function and class weighting.”</w:t>
      </w:r>
    </w:p>
    <w:p>
      <w:pPr>
        <w:spacing w:after="180" w:line="260"/>
        <w:ind w:left="215"/>
      </w:pPr>
      <w:r>
        <w:rPr>
          <w:rFonts w:ascii="Calibri" w:cs="Calibri" w:eastAsia="Calibri" w:hAnsi="Calibri"/>
          <w:b/>
          <w:bCs/>
          <w:color w:val="8C4A00"/>
          <w:sz w:val="18"/>
          <w:szCs w:val="18"/>
        </w:rPr>
        <w:t xml:space="preserve">Cue: </w:t>
      </w:r>
      <w:r>
        <w:rPr>
          <w:rFonts w:ascii="Calibri" w:cs="Calibri" w:eastAsia="Calibri" w:hAnsi="Calibri"/>
          <w:i/>
          <w:iCs/>
          <w:color w:val="555555"/>
          <w:sz w:val="18"/>
          <w:szCs w:val="18"/>
        </w:rPr>
        <w:t xml:space="preserve">This slide sets up the next one — keep pace steady rather than rushing to finish.</w:t>
      </w:r>
    </w:p>
    <w:p>
      <w:pPr>
        <w:shd w:fill="EEF3F5" w:val="clear"/>
        <w:spacing w:after="90" w:before="280"/>
        <w:ind w:left="172" w:right="172"/>
      </w:pPr>
      <w:r>
        <w:rPr>
          <w:rFonts w:ascii="Calibri" w:cs="Calibri" w:eastAsia="Calibri" w:hAnsi="Calibri"/>
          <w:b/>
          <w:bCs/>
          <w:color w:val="1F4E5F"/>
          <w:sz w:val="19"/>
          <w:szCs w:val="19"/>
        </w:rPr>
        <w:t xml:space="preserve">SLIDE 13</w:t>
      </w:r>
      <w:r>
        <w:rPr>
          <w:rFonts w:ascii="Calibri" w:cs="Calibri" w:eastAsia="Calibri" w:hAnsi="Calibri"/>
          <w:b/>
          <w:bCs/>
          <w:color w:val="333333"/>
          <w:sz w:val="19"/>
          <w:szCs w:val="19"/>
        </w:rPr>
        <w:t xml:space="preserve">   ·   Moving from validated MVP to evaluated system</w:t>
      </w:r>
      <w:r>
        <w:rPr>
          <w:rFonts w:ascii="Calibri" w:cs="Calibri" w:eastAsia="Calibri" w:hAnsi="Calibri"/>
          <w:b/>
          <w:bCs/>
          <w:color w:val="8C4A00"/>
          <w:sz w:val="19"/>
          <w:szCs w:val="19"/>
        </w:rPr>
        <w:t xml:space="preserve">   ·   Sonu</w:t>
      </w:r>
      <w:r>
        <w:rPr>
          <w:rFonts w:ascii="Calibri" w:cs="Calibri" w:eastAsia="Calibri" w:hAnsi="Calibri"/>
          <w:i/>
          <w:iCs/>
          <w:color w:val="6B7280"/>
          <w:sz w:val="17"/>
          <w:szCs w:val="17"/>
        </w:rPr>
        <w:t xml:space="preserve">   (55 sec)</w:t>
      </w:r>
    </w:p>
    <w:p>
      <w:pPr>
        <w:spacing w:after="150" w:line="280"/>
        <w:ind w:left="215" w:right="144"/>
      </w:pPr>
      <w:r>
        <w:rPr>
          <w:rFonts w:ascii="Calibri" w:cs="Calibri" w:eastAsia="Calibri" w:hAnsi="Calibri"/>
          <w:i/>
          <w:iCs/>
          <w:sz w:val="21"/>
          <w:szCs w:val="21"/>
        </w:rPr>
        <w:t xml:space="preserve">“Beyond the technical work, we want to move from a validated MVP to a genuinely evaluated system. That means an institutional pilot — with proper ethics approval — because that's the only way to measure whether this actually reduces risky clicks in practice, not just in a test set.”</w:t>
      </w:r>
    </w:p>
    <w:p>
      <w:pPr>
        <w:spacing w:after="150" w:line="280"/>
        <w:ind w:left="215" w:right="144"/>
      </w:pPr>
      <w:r>
        <w:rPr>
          <w:rFonts w:ascii="Calibri" w:cs="Calibri" w:eastAsia="Calibri" w:hAnsi="Calibri"/>
          <w:i/>
          <w:iCs/>
          <w:sz w:val="21"/>
          <w:szCs w:val="21"/>
        </w:rPr>
        <w:t xml:space="preserve">“Alongside that, we want to measure behavioural outcomes over time — do people actually retain what the training taught them — and do a qualitative review of the seventy emails our best model still misses, to understand what they have in common.”</w:t>
      </w:r>
    </w:p>
    <w:p>
      <w:pPr>
        <w:spacing w:after="150" w:line="280"/>
        <w:ind w:left="215" w:right="144"/>
      </w:pPr>
      <w:r>
        <w:rPr>
          <w:rFonts w:ascii="Calibri" w:cs="Calibri" w:eastAsia="Calibri" w:hAnsi="Calibri"/>
          <w:i/>
          <w:iCs/>
          <w:sz w:val="21"/>
          <w:szCs w:val="21"/>
        </w:rPr>
        <w:t xml:space="preserve">“Our priority order is straightforward: the full-scale transformer experiment first, then production security, then the institutional pilot. That's our roadmap from here.”</w:t>
      </w:r>
    </w:p>
    <w:p>
      <w:pPr>
        <w:spacing w:after="180" w:line="260"/>
        <w:ind w:left="215"/>
      </w:pPr>
      <w:r>
        <w:rPr>
          <w:rFonts w:ascii="Calibri" w:cs="Calibri" w:eastAsia="Calibri" w:hAnsi="Calibri"/>
          <w:b/>
          <w:bCs/>
          <w:color w:val="8C4A00"/>
          <w:sz w:val="18"/>
          <w:szCs w:val="18"/>
        </w:rPr>
        <w:t xml:space="preserve">Cue: </w:t>
      </w:r>
      <w:r>
        <w:rPr>
          <w:rFonts w:ascii="Calibri" w:cs="Calibri" w:eastAsia="Calibri" w:hAnsi="Calibri"/>
          <w:i/>
          <w:iCs/>
          <w:color w:val="555555"/>
          <w:sz w:val="18"/>
          <w:szCs w:val="18"/>
        </w:rPr>
        <w:t xml:space="preserve">Slow down slightly for the priority-order sentence — it's the one line the audience should walk away remembering.</w:t>
      </w:r>
    </w:p>
    <w:p>
      <w:pPr>
        <w:pStyle w:val="Heading1"/>
        <w:spacing w:after="140" w:before="320"/>
      </w:pPr>
      <w:r>
        <w:rPr>
          <w:rFonts w:ascii="Calibri" w:cs="Calibri" w:eastAsia="Calibri" w:hAnsi="Calibri"/>
          <w:b/>
          <w:bCs/>
          <w:color w:val="1F4E5F"/>
          <w:sz w:val="27"/>
          <w:szCs w:val="27"/>
        </w:rPr>
        <w:t xml:space="preserve">Closing — Sonu</w:t>
      </w:r>
    </w:p>
    <w:p>
      <w:pPr>
        <w:shd w:fill="EEF3F5" w:val="clear"/>
        <w:spacing w:after="90" w:before="280"/>
        <w:ind w:left="172" w:right="172"/>
      </w:pPr>
      <w:r>
        <w:rPr>
          <w:rFonts w:ascii="Calibri" w:cs="Calibri" w:eastAsia="Calibri" w:hAnsi="Calibri"/>
          <w:b/>
          <w:bCs/>
          <w:color w:val="1F4E5F"/>
          <w:sz w:val="19"/>
          <w:szCs w:val="19"/>
        </w:rPr>
        <w:t xml:space="preserve">SLIDE Closing</w:t>
      </w:r>
      <w:r>
        <w:rPr>
          <w:rFonts w:ascii="Calibri" w:cs="Calibri" w:eastAsia="Calibri" w:hAnsi="Calibri"/>
          <w:b/>
          <w:bCs/>
          <w:color w:val="333333"/>
          <w:sz w:val="19"/>
          <w:szCs w:val="19"/>
        </w:rPr>
        <w:t xml:space="preserve">   ·   Thank you</w:t>
      </w:r>
      <w:r>
        <w:rPr>
          <w:rFonts w:ascii="Calibri" w:cs="Calibri" w:eastAsia="Calibri" w:hAnsi="Calibri"/>
          <w:b/>
          <w:bCs/>
          <w:color w:val="8C4A00"/>
          <w:sz w:val="19"/>
          <w:szCs w:val="19"/>
        </w:rPr>
        <w:t xml:space="preserve">   ·   Sonu</w:t>
      </w:r>
      <w:r>
        <w:rPr>
          <w:rFonts w:ascii="Calibri" w:cs="Calibri" w:eastAsia="Calibri" w:hAnsi="Calibri"/>
          <w:i/>
          <w:iCs/>
          <w:color w:val="6B7280"/>
          <w:sz w:val="17"/>
          <w:szCs w:val="17"/>
        </w:rPr>
        <w:t xml:space="preserve">   (20 sec)</w:t>
      </w:r>
    </w:p>
    <w:p>
      <w:pPr>
        <w:spacing w:after="150" w:line="280"/>
        <w:ind w:left="215" w:right="144"/>
      </w:pPr>
      <w:r>
        <w:rPr>
          <w:rFonts w:ascii="Calibri" w:cs="Calibri" w:eastAsia="Calibri" w:hAnsi="Calibri"/>
          <w:i/>
          <w:iCs/>
          <w:sz w:val="21"/>
          <w:szCs w:val="21"/>
        </w:rPr>
        <w:t xml:space="preserve">“That's SEDAS as it stands at Week 4 — a validated detection pipeline, an integrated three-service architecture, and a clear, honest picture of what's left to do. Thank you for your time — we're happy to take any questions.”</w:t>
      </w:r>
    </w:p>
    <w:p>
      <w:pPr>
        <w:spacing w:after="180" w:line="260"/>
        <w:ind w:left="215"/>
      </w:pPr>
      <w:r>
        <w:rPr>
          <w:rFonts w:ascii="Calibri" w:cs="Calibri" w:eastAsia="Calibri" w:hAnsi="Calibri"/>
          <w:b/>
          <w:bCs/>
          <w:color w:val="8C4A00"/>
          <w:sz w:val="18"/>
          <w:szCs w:val="18"/>
        </w:rPr>
        <w:t xml:space="preserve">Cue: </w:t>
      </w:r>
      <w:r>
        <w:rPr>
          <w:rFonts w:ascii="Calibri" w:cs="Calibri" w:eastAsia="Calibri" w:hAnsi="Calibri"/>
          <w:i/>
          <w:iCs/>
          <w:color w:val="555555"/>
          <w:sz w:val="18"/>
          <w:szCs w:val="18"/>
        </w:rPr>
        <w:t xml:space="preserve">Stop talking once you've said this. Let the silence invite questions rather than filling it.</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2026-08-24T07:26:21.413Z</dcterms:created>
  <dcterms:modified xsi:type="dcterms:W3CDTF">2026-08-24T07:26:21.426Z</dcterms:modified>
</cp:coreProperties>
</file>

<file path=docProps/custom.xml><?xml version="1.0" encoding="utf-8"?>
<Properties xmlns="http://schemas.openxmlformats.org/officeDocument/2006/custom-properties" xmlns:vt="http://schemas.openxmlformats.org/officeDocument/2006/docPropsVTypes"/>
</file>