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SEDAS — Dataset and Benchmark Justification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MIS5320 Part B · Prepared for supervisor consultation, Week 2 · Team: A. Islam, H. Iqbal, Sonu, D. Kipchirchir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1. Freely Available Dataset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700"/>
      </w:tblGrid>
      <w:tr>
        <w:trPr>
          <w:tblHeader/>
        </w:trPr>
        <w:tc>
          <w:tcPr>
            <w:tcW w:type="dxa" w:w="2500"/>
            <w:shd w:fill="1F4E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Dataset</w:t>
            </w:r>
          </w:p>
        </w:tc>
        <w:tc>
          <w:tcPr>
            <w:tcW w:type="dxa" w:w="6700"/>
            <w:shd w:fill="1F4E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Phishing Email Dataset (combined corpus) — Kaggle, curated by N. A. Alam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URL</w:t>
            </w:r>
          </w:p>
        </w:tc>
        <w:tc>
          <w:tcPr>
            <w:tcW w:type="dxa" w:w="6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kaggle.com/datasets/naserabdullahalam/phishing-email-dataset</w:t>
            </w:r>
          </w:p>
        </w:tc>
      </w:tr>
      <w:tr>
        <w:trPr>
          <w:tblHeader w:val="false"/>
        </w:trPr>
        <w:tc>
          <w:tcPr>
            <w:tcW w:type="dxa" w:w="2500"/>
            <w:shd w:fill="F4F8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Composition</w:t>
            </w:r>
          </w:p>
        </w:tc>
        <w:tc>
          <w:tcPr>
            <w:tcW w:type="dxa" w:w="6700"/>
            <w:shd w:fill="F4F8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Six public corpora merged: Enron, Ling-Spam, CEAS 2008, Nazario phishing corpus, Nigerian Fraud, SpamAssassin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Size</w:t>
            </w:r>
          </w:p>
        </w:tc>
        <w:tc>
          <w:tcPr>
            <w:tcW w:type="dxa" w:w="6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82,486 usable emails — 42,891 phishing/spam, 39,595 legitimate (ham)</w:t>
            </w:r>
          </w:p>
        </w:tc>
      </w:tr>
      <w:tr>
        <w:trPr>
          <w:tblHeader w:val="false"/>
        </w:trPr>
        <w:tc>
          <w:tcPr>
            <w:tcW w:type="dxa" w:w="2500"/>
            <w:shd w:fill="F4F8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Fields</w:t>
            </w:r>
          </w:p>
        </w:tc>
        <w:tc>
          <w:tcPr>
            <w:tcW w:type="dxa" w:w="6700"/>
            <w:shd w:fill="F4F8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text_combined (subject + body [+ sender/receiver/date where available]), binary label (1 = phishing, 0 = legitimate)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Licence / access</w:t>
            </w:r>
          </w:p>
        </w:tc>
        <w:tc>
          <w:tcPr>
            <w:tcW w:type="dxa" w:w="6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Publicly and freely available; widely cited in 2024–2026 peer-reviewed literature</w:t>
            </w:r>
          </w:p>
        </w:tc>
      </w:tr>
    </w:tbl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2. Source Paper (Benchmark)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dataset was assembled and published by its authors together with a peer-reviewed study: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Al-Subaiey, A., Al-Thani, M., Alam, N. A., Antora, K. F., Khandakar, A., &amp; Zaman, S. M. A. U. (2024). Novel interpretable and robust web-based AI platform for phishing email detection. Computers and Electrical Engineering, 120, 109625. (Preprint: arXiv:2405.11619.)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Alignment with SEDAS is exact: the paper uses the identical combined corpus (42,891 spam / 39,595 ham ≈ 82,500 emails — matching our loaded 82,486 rows), TF-IDF feature extraction, a supervised classifier, Explainable AI for user trust (LIME), and deployment as a real-time web application for phishing email detection. This is the same problem, the same data, and a directly comparable pipeline to the SEDAS detection service.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3. Parameters and Results Reported in the Source Paper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100"/>
      </w:tblGrid>
      <w:tr>
        <w:trPr>
          <w:tblHeader/>
        </w:trPr>
        <w:tc>
          <w:tcPr>
            <w:tcW w:type="dxa" w:w="3100"/>
            <w:shd w:fill="1F4E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Parameter (paper)</w:t>
            </w:r>
          </w:p>
        </w:tc>
        <w:tc>
          <w:tcPr>
            <w:tcW w:type="dxa" w:w="6100"/>
            <w:shd w:fill="1F4E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 / approach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Feature extraction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TF-IDF vectorisation of combined email text</w:t>
            </w:r>
          </w:p>
        </w:tc>
      </w:tr>
      <w:tr>
        <w:trPr>
          <w:tblHeader w:val="false"/>
        </w:trPr>
        <w:tc>
          <w:tcPr>
            <w:tcW w:type="dxa" w:w="3100"/>
            <w:shd w:fill="F4F8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Classifier</w:t>
            </w:r>
          </w:p>
        </w:tc>
        <w:tc>
          <w:tcPr>
            <w:tcW w:type="dxa" w:w="6100"/>
            <w:shd w:fill="F4F8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Support Vector Machine (SVM); classical ML models compared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Evaluation metrics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Accuracy, Precision, Recall, F1 score</w:t>
            </w:r>
          </w:p>
        </w:tc>
      </w:tr>
      <w:tr>
        <w:trPr>
          <w:tblHeader w:val="false"/>
        </w:trPr>
        <w:tc>
          <w:tcPr>
            <w:tcW w:type="dxa" w:w="3100"/>
            <w:shd w:fill="F4F8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Headline result</w:t>
            </w:r>
          </w:p>
        </w:tc>
        <w:tc>
          <w:tcPr>
            <w:tcW w:type="dxa" w:w="6100"/>
            <w:shd w:fill="F4F8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F1 = 0.99 on the combined 82.5k-email corpus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Explainability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LIME (Local Interpretable Model-agnostic Explanations)</w:t>
            </w:r>
          </w:p>
        </w:tc>
      </w:tr>
      <w:tr>
        <w:trPr>
          <w:tblHeader w:val="false"/>
        </w:trPr>
        <w:tc>
          <w:tcPr>
            <w:tcW w:type="dxa" w:w="3100"/>
            <w:shd w:fill="F4F8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Deployment</w:t>
            </w:r>
          </w:p>
        </w:tc>
        <w:tc>
          <w:tcPr>
            <w:tcW w:type="dxa" w:w="6100"/>
            <w:shd w:fill="F4F8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Real-time web application for end users</w:t>
            </w:r>
          </w:p>
        </w:tc>
      </w:tr>
    </w:tbl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4. SEDAS Parameters and Comparison Method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SEDAS applies the same dataset with an identical preprocessing target (text_combined, binary label) and an 80/20 stratified hold-out split (random_state = 42 for reproducibility). Comparison is therefore like-for-like: same corpus, same metrics.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00"/>
        <w:gridCol w:w="2300"/>
        <w:gridCol w:w="2000"/>
      </w:tblGrid>
      <w:tr>
        <w:trPr>
          <w:tblHeader/>
        </w:trPr>
        <w:tc>
          <w:tcPr>
            <w:tcW w:type="dxa" w:w="2600"/>
            <w:shd w:fill="1F4E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2300"/>
            <w:shd w:fill="1F4E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Feature extraction</w:t>
            </w:r>
          </w:p>
        </w:tc>
        <w:tc>
          <w:tcPr>
            <w:tcW w:type="dxa" w:w="2300"/>
            <w:shd w:fill="1F4E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000"/>
            <w:shd w:fill="1F4E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F1 (held-out)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Benchmark: SVM (Al-Subaiey et al., 2024)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TF-IDF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Published result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rPr>
          <w:tblHeader w:val="false"/>
        </w:trPr>
        <w:tc>
          <w:tcPr>
            <w:tcW w:type="dxa" w:w="2600"/>
            <w:shd w:fill="F4F8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SEDAS baseline: Logistic Regression</w:t>
            </w:r>
          </w:p>
        </w:tc>
        <w:tc>
          <w:tcPr>
            <w:tcW w:type="dxa" w:w="2300"/>
            <w:shd w:fill="F4F8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TF-IDF (50k features, 1–2 grams)</w:t>
            </w:r>
          </w:p>
        </w:tc>
        <w:tc>
          <w:tcPr>
            <w:tcW w:type="dxa" w:w="2300"/>
            <w:shd w:fill="F4F8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Complete (Week 1)</w:t>
            </w:r>
          </w:p>
        </w:tc>
        <w:tc>
          <w:tcPr>
            <w:tcW w:type="dxa" w:w="2000"/>
            <w:shd w:fill="F4F8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0.9865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SEDAS replication: SVM (LinearSVC)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TF-IDF (same pipeline)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Complete (Week 2)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0.9916 (FP rate 0.0095)</w:t>
            </w:r>
          </w:p>
        </w:tc>
      </w:tr>
      <w:tr>
        <w:trPr>
          <w:tblHeader w:val="false"/>
        </w:trPr>
        <w:tc>
          <w:tcPr>
            <w:tcW w:type="dxa" w:w="2600"/>
            <w:shd w:fill="F4F8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SEDAS extension: DistilBERT (transformer)</w:t>
            </w:r>
          </w:p>
        </w:tc>
        <w:tc>
          <w:tcPr>
            <w:tcW w:type="dxa" w:w="2300"/>
            <w:shd w:fill="F4F8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Contextual embeddings</w:t>
            </w:r>
          </w:p>
        </w:tc>
        <w:tc>
          <w:tcPr>
            <w:tcW w:type="dxa" w:w="2300"/>
            <w:shd w:fill="F4F8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Planned — Week 3/4</w:t>
            </w:r>
          </w:p>
        </w:tc>
        <w:tc>
          <w:tcPr>
            <w:tcW w:type="dxa" w:w="2000"/>
            <w:shd w:fill="F4F8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3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Metrics reported for every model: accuracy, precision, recall, F1, false-positive rate, and confusion matrix on the same held-out test set. SEDAS additionally records what the source paper does not: false-positive rates (LR 0.0144; SVM 0.0095), full confusion matrices (SVM: TN=7844, FP=75, FN=70, TP=8509 on 16,498 held-out emails), and per-request latency (≈ 10 ms CPU). The SVM replication (F1 0.9916) matches the published benchmark (0.99) on identical data, validating the SEDAS pipeline end to end.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Why this comparison is meaningful:</w:t>
      </w:r>
      <w:r>
        <w:rPr>
          <w:rFonts w:ascii="Calibri" w:cs="Calibri" w:eastAsia="Calibri" w:hAnsi="Calibri"/>
          <w:sz w:val="22"/>
          <w:szCs w:val="22"/>
        </w:rPr>
        <w:t xml:space="preserve"> The SVM replication validates our pipeline directly against the published benchmark on identical data.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sz w:val="22"/>
          <w:szCs w:val="22"/>
        </w:rPr>
        <w:t xml:space="preserve">The DistilBERT extension tests whether transformer-based contextual representation improves on classical TF-IDF approaches — the direction supported by recent literature on the same corpus (e.g., dual-path transformer NLP study, arXiv:2509.20972, Sept 2025), and the transformer approach proposed in our Part A design.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Contribution framing (risk mitigation):</w:t>
      </w:r>
      <w:r>
        <w:rPr>
          <w:rFonts w:ascii="Calibri" w:cs="Calibri" w:eastAsia="Calibri" w:hAnsi="Calibri"/>
          <w:sz w:val="22"/>
          <w:szCs w:val="22"/>
        </w:rPr>
        <w:t xml:space="preserve"> SEDAS's contribution beyond the benchmark: integration of detection with tamper-evident URL verification, adaptive awareness training, and governance analytics in one platform — plus measured latency and negative-input testing not reported in the source paper.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5. Secondary Comparator (Recent)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Dual-Path Phishing Detection: Integrating Transformer-Based NLP with Structural URL Analysis (arXiv:2509.20972, September 2025) uses the same merged Nazario/Enron/SpamAssassin/CEAS corpus (~82,000 entries) with transformer models — providing a second, more recent reference point for the DistilBERT extension and for combining email-text and URL analysis, mirroring the SEDAS architecture.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6. Relationship to the Part A Literature Review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Part A (MIS5203) 40-paper review established the evaluation parameters this project uses: classification accuracy, precision, recall, F1 score, false-positive rate, and detection latency — drawn from deep-learning phishing-email detection studies (CNN-LSTM evaluation on a large legitimate-vs-phishing email corpus with content/header features and latency targets) and transformer-based email detection work, alongside a 2025 survey of phishing detection techniques and datasets in which the Nazario and Enron corpora are canonical.</w:t>
      </w:r>
    </w:p>
    <w:p>
      <w:pPr>
        <w:spacing w:after="13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Part B refines this foundation by identifying the source publication of the exact dataset in use (Al-Subaiey et al., 2024). The project therefore satisfies both benchmark conditions discussed with the supervisor: the parameters are anchored in the Part A literature, and the dataset is identical to a recent peer-reviewed study with published results — enabling a direct like-for-like comparison on the same corpus.</w:t>
      </w:r>
    </w:p>
    <w:sectPr>
      <w:pgSz w:w="11906" w:h="16838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2026-07-20T11:02:44.019Z</dcterms:created>
  <dcterms:modified xsi:type="dcterms:W3CDTF">2026-07-20T11:02:44.033Z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