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SEDAS — Security, Testing &amp; Documentation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Role Brief &amp; Task Specification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MIS5320 Part B · Owner: Huzaifa Iqbal (240220)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1. Your role in SEDAS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You own the assurance layer — the work that proves SEDAS is trustworthy and usable. Three deliverables, all directly assessed: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 assessment (Week 6, NFR-05) —</w:t>
      </w:r>
      <w:r>
        <w:rPr>
          <w:rFonts w:ascii="Calibri" w:cs="Calibri" w:eastAsia="Calibri" w:hAnsi="Calibri"/>
          <w:sz w:val="22"/>
          <w:szCs w:val="22"/>
        </w:rPr>
        <w:t xml:space="preserve"> An OWASP Top 10 review of our own services, with findings and fixes. A security tool that is itself insecure is indefensible in the viva — the supervisor is likely to ask.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framework —</w:t>
      </w:r>
      <w:r>
        <w:rPr>
          <w:rFonts w:ascii="Calibri" w:cs="Calibri" w:eastAsia="Calibri" w:hAnsi="Calibri"/>
          <w:sz w:val="22"/>
          <w:szCs w:val="22"/>
        </w:rPr>
        <w:t xml:space="preserve"> Extending the automated test suite and keeping the GitHub Actions CI pipeline green.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documentation (Week 7) —</w:t>
      </w:r>
      <w:r>
        <w:rPr>
          <w:rFonts w:ascii="Calibri" w:cs="Calibri" w:eastAsia="Calibri" w:hAnsi="Calibri"/>
          <w:sz w:val="22"/>
          <w:szCs w:val="22"/>
        </w:rPr>
        <w:t xml:space="preserve"> Installation guide, user guide and administrator guide, written for a non-technical reader. This is an explicit Assessment 3 deliverable alongside the report and artefact.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2. What exists now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Detection service (port 8001)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TF-IDF + Logistic Regression model; /classify with explainability, /health. Benchmark SVM replication F1 0.9916.</w:t>
            </w:r>
          </w:p>
        </w:tc>
      </w:tr>
      <w:tr>
        <w:trPr>
          <w:tblHeader w:val="false"/>
        </w:trPr>
        <w:tc>
          <w:tcPr>
            <w:tcW w:type="dxa" w:w="2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URL verification service (port 8002)</w:t>
            </w:r>
          </w:p>
        </w:tc>
        <w:tc>
          <w:tcPr>
            <w:tcW w:type="dxa" w:w="6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Heuristic risk analysis; SHA-256 hash-chained append-only registry; /verify, /report, /chain/validate, /health.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Training service (port 8003)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Persona-based lessons, quizzes, risk tracking (scoring engine owned by Dominic).</w:t>
            </w:r>
          </w:p>
        </w:tc>
      </w:tr>
      <w:tr>
        <w:trPr>
          <w:tblHeader w:val="false"/>
        </w:trPr>
        <w:tc>
          <w:tcPr>
            <w:tcW w:type="dxa" w:w="2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 demo (frontend/demo.html)</w:t>
            </w:r>
          </w:p>
        </w:tc>
        <w:tc>
          <w:tcPr>
            <w:tcW w:type="dxa" w:w="6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Calls detection and URL services; verdict badges, risk scores, indicator chips.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tests/test_detection.py (TD-01..05), tests/test_url_verify.py (TU-01..03) — 8 passing.</w:t>
            </w:r>
          </w:p>
        </w:tc>
      </w:tr>
      <w:tr>
        <w:trPr>
          <w:tblHeader w:val="false"/>
        </w:trPr>
        <w:tc>
          <w:tcPr>
            <w:tcW w:type="dxa" w:w="2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</w:t>
            </w:r>
          </w:p>
        </w:tc>
        <w:tc>
          <w:tcPr>
            <w:tcW w:type="dxa" w:w="6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 Actions runs pytest on every push and pull request.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3. Task A — OWASP Top 10 self-assessment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Work through each category against our code and record the result. Produce docs/security/OWASP_Assessment.md with one section per category: what you checked, what you found, and what was done (or why no action is needed at MVP scope). Known items are pre-filled below as starting points — verify them yourself rather than trusting this list.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OWASP category</w:t>
            </w:r>
          </w:p>
        </w:tc>
        <w:tc>
          <w:tcPr>
            <w:tcW w:type="dxa" w:w="3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to look</w:t>
            </w:r>
          </w:p>
        </w:tc>
        <w:tc>
          <w:tcPr>
            <w:tcW w:type="dxa" w:w="3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Known / expected finding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A01 Broken access control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services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authentication or roles yet — RBAC (FR-08) is outstanding. Record as an open finding with a proposed design.</w:t>
            </w:r>
          </w:p>
        </w:tc>
      </w:tr>
      <w:tr>
        <w:trPr>
          <w:tblHeader w:val="false"/>
        </w:trPr>
        <w:tc>
          <w:tcPr>
            <w:tcW w:type="dxa" w:w="2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A02 Cryptographic failures</w:t>
            </w:r>
          </w:p>
        </w:tc>
        <w:tc>
          <w:tcPr>
            <w:tcW w:type="dxa" w:w="3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url-verify serve.py</w:t>
            </w:r>
          </w:p>
        </w:tc>
        <w:tc>
          <w:tcPr>
            <w:tcW w:type="dxa" w:w="3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SHA-256 hash chaining is used correctly for integrity; note that it provides tamper-evidence, not confidentiality.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A03 Injection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database access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every SQL statement uses parameterised queries (? placeholders). Flag any string concatenation.</w:t>
            </w:r>
          </w:p>
        </w:tc>
      </w:tr>
      <w:tr>
        <w:trPr>
          <w:tblHeader w:val="false"/>
        </w:trPr>
        <w:tc>
          <w:tcPr>
            <w:tcW w:type="dxa" w:w="2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A04 Insecure design</w:t>
            </w:r>
          </w:p>
        </w:tc>
        <w:tc>
          <w:tcPr>
            <w:tcW w:type="dxa" w:w="3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3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Consider abuse cases: mass /report submissions poisoning the registry; unauthenticated risk-score manipulation via /submit.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A05 Security misconfiguration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serve.py files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CORS is currently allow_origins=['*'] for local demo — must be restricted before any deployment. Fix and document.</w:t>
            </w:r>
          </w:p>
        </w:tc>
      </w:tr>
      <w:tr>
        <w:trPr>
          <w:tblHeader w:val="false"/>
        </w:trPr>
        <w:tc>
          <w:tcPr>
            <w:tcW w:type="dxa" w:w="2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A06 Vulnerable components</w:t>
            </w:r>
          </w:p>
        </w:tc>
        <w:tc>
          <w:tcPr>
            <w:tcW w:type="dxa" w:w="3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3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Run: pip list --outdated. Record versions and any advisories.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A07 Authentication failures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services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login exists yet; document the intended approach (institutional SSO in production per Part A).</w:t>
            </w:r>
          </w:p>
        </w:tc>
      </w:tr>
      <w:tr>
        <w:trPr>
          <w:tblHeader w:val="false"/>
        </w:trPr>
        <w:tc>
          <w:tcPr>
            <w:tcW w:type="dxa" w:w="2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A08 Data integrity failures</w:t>
            </w:r>
          </w:p>
        </w:tc>
        <w:tc>
          <w:tcPr>
            <w:tcW w:type="dxa" w:w="3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url-verify, training</w:t>
            </w:r>
          </w:p>
        </w:tc>
        <w:tc>
          <w:tcPr>
            <w:tcW w:type="dxa" w:w="3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Chain validation endpoint exists; check it is actually exercised by tests.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A09 Logging and monitoring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services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Requests are not persistently logged. Note the gap against NFR-08 (auditability).</w:t>
            </w:r>
          </w:p>
        </w:tc>
      </w:tr>
      <w:tr>
        <w:trPr>
          <w:tblHeader w:val="false"/>
        </w:trPr>
        <w:tc>
          <w:tcPr>
            <w:tcW w:type="dxa" w:w="2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A10 Server-side request forgery</w:t>
            </w:r>
          </w:p>
        </w:tc>
        <w:tc>
          <w:tcPr>
            <w:tcW w:type="dxa" w:w="3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url-verify</w:t>
            </w:r>
          </w:p>
        </w:tc>
        <w:tc>
          <w:tcPr>
            <w:tcW w:type="dxa" w:w="3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 analyse URLs but do not fetch them — confirm no code makes outbound requests to user-supplied URLs.</w:t>
            </w:r>
          </w:p>
        </w:tc>
      </w:tr>
    </w:tbl>
    <w:p>
      <w:pPr>
        <w:spacing w:after="130" w:line="276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For each finding, record: severity (high/medium/low), whether it is fixed now or deferred, and the justification. Deferred findings with reasons are perfectly acceptable at MVP scope — undocumented ones are not.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4. Task B — extend the test suite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Add tests that increase coverage and run without the trained model (so they execute in CI). Use these IDs so they slot into the project test matrix: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4700"/>
      </w:tblGrid>
      <w:tr>
        <w:trPr>
          <w:tblHeader/>
        </w:trPr>
        <w:tc>
          <w:tcPr>
            <w:tcW w:type="dxa" w:w="1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Assertion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test_ts01_sql_parameterisation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Reporting a URL containing a SQL metacharacter (e.g. "'; DROP TABLE registry;--") stores it safely and /chain/validate still returns valid.</w:t>
            </w:r>
          </w:p>
        </w:tc>
      </w:tr>
      <w:tr>
        <w:trPr>
          <w:tblHeader w:val="false"/>
        </w:trPr>
        <w:tc>
          <w:tcPr>
            <w:tcW w:type="dxa" w:w="11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TS-02</w:t>
            </w:r>
          </w:p>
        </w:tc>
        <w:tc>
          <w:tcPr>
            <w:tcW w:type="dxa" w:w="3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test_ts02_empty_input_handled</w:t>
            </w:r>
          </w:p>
        </w:tc>
        <w:tc>
          <w:tcPr>
            <w:tcW w:type="dxa" w:w="47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/verify with an empty url string returns a response (not a 500 error).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test_ts03_unknown_user_404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/submit for a non-existent username returns HTTP 404, not 500.</w:t>
            </w:r>
          </w:p>
        </w:tc>
      </w:tr>
      <w:tr>
        <w:trPr>
          <w:tblHeader w:val="false"/>
        </w:trPr>
        <w:tc>
          <w:tcPr>
            <w:tcW w:type="dxa" w:w="11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TS-04</w:t>
            </w:r>
          </w:p>
        </w:tc>
        <w:tc>
          <w:tcPr>
            <w:tcW w:type="dxa" w:w="3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test_ts04_quiz_hides_answers</w:t>
            </w:r>
          </w:p>
        </w:tc>
        <w:tc>
          <w:tcPr>
            <w:tcW w:type="dxa" w:w="47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/lessons/{code}/quiz response contains no 'correct' field.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TS-05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test_ts05_health_endpoints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running services return status 'ok' from /health.</w:t>
            </w:r>
          </w:p>
        </w:tc>
      </w:tr>
    </w:tbl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run everything from the repository root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.\venv\Scripts\activate</w:t>
      </w:r>
    </w:p>
    <w:p>
      <w:pPr>
        <w:shd w:fill="F2F5F7" w:val="clear"/>
        <w:spacing w:after="140" w:line="240"/>
      </w:pPr>
      <w:r>
        <w:rPr>
          <w:rFonts w:ascii="Consolas" w:cs="Consolas" w:eastAsia="Consolas" w:hAnsi="Consolas"/>
          <w:sz w:val="18"/>
          <w:szCs w:val="18"/>
        </w:rPr>
        <w:t xml:space="preserve">pytest tests/ -v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5. Task C — user documentation (Week 7)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Three documents in docs/user/, written for a reader who does not code. Screenshots throughout — take them from the running system, not from imagination.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Installation guide —</w:t>
      </w:r>
      <w:r>
        <w:rPr>
          <w:rFonts w:ascii="Calibri" w:cs="Calibri" w:eastAsia="Calibri" w:hAnsi="Calibri"/>
          <w:sz w:val="22"/>
          <w:szCs w:val="22"/>
        </w:rPr>
        <w:t xml:space="preserve"> Prerequisites (Python, Git), cloning the repository, creating the virtual environment, installing requirements, seeding training content, starting each service with its port, and opening the demo page. Include what a successful start looks like.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guide —</w:t>
      </w:r>
      <w:r>
        <w:rPr>
          <w:rFonts w:ascii="Calibri" w:cs="Calibri" w:eastAsia="Calibri" w:hAnsi="Calibri"/>
          <w:sz w:val="22"/>
          <w:szCs w:val="22"/>
        </w:rPr>
        <w:t xml:space="preserve"> How to check an email, how to read the verdict, risk score and indicators, how to verify a URL, what 'blocked' versus 'suspicious' means, how to take a training lesson, and how to read your progress and risk band.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Administrator guide —</w:t>
      </w:r>
      <w:r>
        <w:rPr>
          <w:rFonts w:ascii="Calibri" w:cs="Calibri" w:eastAsia="Calibri" w:hAnsi="Calibri"/>
          <w:sz w:val="22"/>
          <w:szCs w:val="22"/>
        </w:rPr>
        <w:t xml:space="preserve"> Reporting a malicious URL, validating the registry chain, seeding or updating training content, and interpreting the dashboard.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6. Committing your work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Branches.</w:t>
      </w:r>
      <w:r>
        <w:rPr>
          <w:rFonts w:ascii="Calibri" w:cs="Calibri" w:eastAsia="Calibri" w:hAnsi="Calibri"/>
          <w:sz w:val="22"/>
          <w:szCs w:val="22"/>
        </w:rPr>
        <w:t xml:space="preserve"> feature/security-assessment, feature/test-extensions, feature/user-docs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 messages.</w:t>
      </w:r>
      <w:r>
        <w:rPr>
          <w:rFonts w:ascii="Calibri" w:cs="Calibri" w:eastAsia="Calibri" w:hAnsi="Calibri"/>
          <w:sz w:val="22"/>
          <w:szCs w:val="22"/>
        </w:rPr>
        <w:t xml:space="preserve"> docs(security): OWASP Top 10 self-assessment · test(security): TS-01..05 negative and integrity tests · docs(user): installation, user and admin guides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Pull requests.</w:t>
      </w:r>
      <w:r>
        <w:rPr>
          <w:rFonts w:ascii="Calibri" w:cs="Calibri" w:eastAsia="Calibri" w:hAnsi="Calibri"/>
          <w:sz w:val="22"/>
          <w:szCs w:val="22"/>
        </w:rPr>
        <w:t xml:space="preserve"> Publish branch → Create Pull Request → another member reviews and merges.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Log.</w:t>
      </w:r>
      <w:r>
        <w:rPr>
          <w:rFonts w:ascii="Calibri" w:cs="Calibri" w:eastAsia="Calibri" w:hAnsi="Calibri"/>
          <w:sz w:val="22"/>
          <w:szCs w:val="22"/>
        </w:rPr>
        <w:t xml:space="preserve"> Record findings, fixes, problems and any AI assistance with reflection.</w:t>
      </w:r>
    </w:p>
    <w:p>
      <w:r>
        <w:br w:type="page"/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7. Viva preparation — questions you should be able to answer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4300"/>
      </w:tblGrid>
      <w:tr>
        <w:trPr>
          <w:tblHeader/>
        </w:trPr>
        <w:tc>
          <w:tcPr>
            <w:tcW w:type="dxa" w:w="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a strong answer covers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secure is SEDAS itself?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Walk through the OWASP assessment: what was checked, what was fixed (e.g. CORS restriction), what remains open (authentication/RBAC) and why that is acceptable at MVP scope.</w:t>
            </w:r>
          </w:p>
        </w:tc>
      </w:tr>
      <w:tr>
        <w:trPr>
          <w:tblHeader w:val="false"/>
        </w:trPr>
        <w:tc>
          <w:tcPr>
            <w:tcW w:type="dxa" w:w="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was CORS set to allow all origins?</w:t>
            </w:r>
          </w:p>
        </w:tc>
        <w:tc>
          <w:tcPr>
            <w:tcW w:type="dxa" w:w="4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Deliberate for local demonstration only; restricted before deployment; documented as a finding with the fix applied — shows the process working.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do you prevent SQL injection?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Parameterised queries with ? placeholders throughout; verified by a test that submits SQL metacharacters and confirms integrity.</w:t>
            </w:r>
          </w:p>
        </w:tc>
      </w:tr>
      <w:tr>
        <w:trPr>
          <w:tblHeader w:val="false"/>
        </w:trPr>
        <w:tc>
          <w:tcPr>
            <w:tcW w:type="dxa" w:w="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is the biggest security gap in the current build?</w:t>
            </w:r>
          </w:p>
        </w:tc>
        <w:tc>
          <w:tcPr>
            <w:tcW w:type="dxa" w:w="4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Absence of authentication and role-based access control (FR-08) — anyone reaching the API can submit or report; production design relies on institutional SSO, and this is recorded as an open finding.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does your testing strategy work?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Unit and API-level tests per module with requirement-traced IDs; model-free tests run in CI on every push; negative tests confirm graceful failure, not just happy paths.</w:t>
            </w:r>
          </w:p>
        </w:tc>
      </w:tr>
      <w:tr>
        <w:trPr>
          <w:tblHeader w:val="false"/>
        </w:trPr>
        <w:tc>
          <w:tcPr>
            <w:tcW w:type="dxa" w:w="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do some tests skip on other machines?</w:t>
            </w:r>
          </w:p>
        </w:tc>
        <w:tc>
          <w:tcPr>
            <w:tcW w:type="dxa" w:w="4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trained model and dataset are deliberately excluded from the repository; the suite skips model-dependent tests rather than failing, while model-free tests still execute in CI.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Who is the user documentation written for?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Non-technical readers — an explicit assessment requirement (communicating to both specialists and non-specialists); validated by having someone outside the team follow the install guide.</w:t>
            </w:r>
          </w:p>
        </w:tc>
      </w:tr>
      <w:tr>
        <w:trPr>
          <w:tblHeader w:val="false"/>
        </w:trPr>
        <w:tc>
          <w:tcPr>
            <w:tcW w:type="dxa" w:w="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does the tamper-evident registry actually work?</w:t>
            </w:r>
          </w:p>
        </w:tc>
        <w:tc>
          <w:tcPr>
            <w:tcW w:type="dxa" w:w="4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record hashes the previous record's hash; /chain/validate recomputes the whole chain, so any edited row breaks verification and is located.</w:t>
            </w:r>
          </w:p>
        </w:tc>
      </w:tr>
    </w:tbl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2026-07-20T12:33:18.412Z</dcterms:created>
  <dcterms:modified xsi:type="dcterms:W3CDTF">2026-07-20T12:33:18.412Z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