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1F4E5F"/>
          <w:sz w:val="38"/>
          <w:szCs w:val="38"/>
        </w:rPr>
        <w:t xml:space="preserve">SEDAS</w:t>
      </w:r>
    </w:p>
    <w:p>
      <w:pPr>
        <w:spacing w:after="60"/>
        <w:jc w:val="center"/>
      </w:pPr>
      <w:r>
        <w:rPr>
          <w:rFonts w:ascii="Calibri" w:cs="Calibri" w:eastAsia="Calibri" w:hAnsi="Calibri"/>
          <w:b/>
          <w:bCs/>
          <w:sz w:val="24"/>
          <w:szCs w:val="24"/>
        </w:rPr>
        <w:t xml:space="preserve">Social Engineering Defence and Awareness System</w:t>
      </w:r>
    </w:p>
    <w:p>
      <w:pPr>
        <w:spacing w:after="60"/>
        <w:jc w:val="center"/>
      </w:pPr>
      <w:r>
        <w:rPr>
          <w:rFonts w:ascii="Calibri" w:cs="Calibri" w:eastAsia="Calibri" w:hAnsi="Calibri"/>
          <w:b/>
          <w:bCs/>
          <w:color w:val="1F4E5F"/>
          <w:sz w:val="28"/>
          <w:szCs w:val="28"/>
        </w:rPr>
        <w:t xml:space="preserve">User Guide</w:t>
      </w:r>
    </w:p>
    <w:p>
      <w:pPr>
        <w:spacing w:after="320"/>
        <w:jc w:val="center"/>
      </w:pPr>
      <w:r>
        <w:rPr>
          <w:rFonts w:ascii="Calibri" w:cs="Calibri" w:eastAsia="Calibri" w:hAnsi="Calibri"/>
          <w:i/>
          <w:iCs/>
          <w:sz w:val="20"/>
          <w:szCs w:val="20"/>
        </w:rPr>
        <w:t xml:space="preserve">MIS5320 Applied IS Project — Part B  ·  Assessment 3 Deliverable 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Document type</w:t>
            </w:r>
          </w:p>
        </w:tc>
        <w:tc>
          <w:tcPr>
            <w:tcW w:type="dxa" w:w="67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Non-technical user guide</w:t>
            </w:r>
          </w:p>
        </w:tc>
      </w:tr>
      <w:tr>
        <w:trPr>
          <w:tblHeader w:val="false"/>
        </w:trPr>
        <w:tc>
          <w:tcPr>
            <w:tcW w:type="dxa" w:w="2500"/>
            <w:tcMar>
              <w:top w:type="dxa" w:w="75"/>
              <w:left w:type="dxa" w:w="95"/>
              <w:bottom w:type="dxa" w:w="75"/>
              <w:right w:type="dxa" w:w="95"/>
            </w:tcMar>
          </w:tcPr>
          <w:p>
            <w:pPr>
              <w:spacing w:after="0" w:line="248"/>
            </w:pPr>
            <w:r>
              <w:rPr>
                <w:rFonts w:ascii="Calibri" w:cs="Calibri" w:eastAsia="Calibri" w:hAnsi="Calibri"/>
                <w:sz w:val="18"/>
                <w:szCs w:val="18"/>
              </w:rPr>
              <w:t xml:space="preserve">Audience</w:t>
            </w:r>
          </w:p>
        </w:tc>
        <w:tc>
          <w:tcPr>
            <w:tcW w:type="dxa" w:w="6700"/>
            <w:tcMar>
              <w:top w:type="dxa" w:w="75"/>
              <w:left w:type="dxa" w:w="95"/>
              <w:bottom w:type="dxa" w:w="75"/>
              <w:right w:type="dxa" w:w="95"/>
            </w:tcMar>
          </w:tcPr>
          <w:p>
            <w:pPr>
              <w:spacing w:after="0" w:line="248"/>
            </w:pPr>
            <w:r>
              <w:rPr>
                <w:rFonts w:ascii="Calibri" w:cs="Calibri" w:eastAsia="Calibri" w:hAnsi="Calibri"/>
                <w:sz w:val="18"/>
                <w:szCs w:val="18"/>
              </w:rPr>
              <w:t xml:space="preserve">Students, staff and administrators using SEDAS</w:t>
            </w:r>
          </w:p>
        </w:tc>
      </w:tr>
      <w:tr>
        <w:trPr>
          <w:tblHeader w:val="false"/>
        </w:trPr>
        <w:tc>
          <w:tcPr>
            <w:tcW w:type="dxa" w:w="25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System version</w:t>
            </w:r>
          </w:p>
        </w:tc>
        <w:tc>
          <w:tcPr>
            <w:tcW w:type="dxa" w:w="67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0.1.0</w:t>
            </w:r>
          </w:p>
        </w:tc>
      </w:tr>
      <w:tr>
        <w:trPr>
          <w:tblHeader w:val="false"/>
        </w:trPr>
        <w:tc>
          <w:tcPr>
            <w:tcW w:type="dxa" w:w="2500"/>
            <w:tcMar>
              <w:top w:type="dxa" w:w="75"/>
              <w:left w:type="dxa" w:w="95"/>
              <w:bottom w:type="dxa" w:w="75"/>
              <w:right w:type="dxa" w:w="95"/>
            </w:tcMar>
          </w:tcPr>
          <w:p>
            <w:pPr>
              <w:spacing w:after="0" w:line="248"/>
            </w:pPr>
            <w:r>
              <w:rPr>
                <w:rFonts w:ascii="Calibri" w:cs="Calibri" w:eastAsia="Calibri" w:hAnsi="Calibri"/>
                <w:sz w:val="18"/>
                <w:szCs w:val="18"/>
              </w:rPr>
              <w:t xml:space="preserve">Prior knowledge required</w:t>
            </w:r>
          </w:p>
        </w:tc>
        <w:tc>
          <w:tcPr>
            <w:tcW w:type="dxa" w:w="6700"/>
            <w:tcMar>
              <w:top w:type="dxa" w:w="75"/>
              <w:left w:type="dxa" w:w="95"/>
              <w:bottom w:type="dxa" w:w="75"/>
              <w:right w:type="dxa" w:w="95"/>
            </w:tcMar>
          </w:tcPr>
          <w:p>
            <w:pPr>
              <w:spacing w:after="0" w:line="248"/>
            </w:pPr>
            <w:r>
              <w:rPr>
                <w:rFonts w:ascii="Calibri" w:cs="Calibri" w:eastAsia="Calibri" w:hAnsi="Calibri"/>
                <w:sz w:val="18"/>
                <w:szCs w:val="18"/>
              </w:rPr>
              <w:t xml:space="preserve">None</w:t>
            </w:r>
          </w:p>
        </w:tc>
      </w:tr>
    </w:tbl>
    <w:p>
      <w:r>
        <w:br w:type="page"/>
      </w:r>
    </w:p>
    <w:p>
      <w:pPr>
        <w:pStyle w:val="Heading1"/>
        <w:spacing w:after="150" w:before="340"/>
      </w:pPr>
      <w:r>
        <w:rPr>
          <w:rFonts w:ascii="Calibri" w:cs="Calibri" w:eastAsia="Calibri" w:hAnsi="Calibri"/>
          <w:b/>
          <w:bCs/>
          <w:color w:val="1F4E5F"/>
          <w:sz w:val="28"/>
          <w:szCs w:val="28"/>
        </w:rPr>
        <w:t xml:space="preserve">1. What SEDAS Does</w:t>
      </w:r>
    </w:p>
    <w:p>
      <w:pPr>
        <w:spacing w:after="125" w:line="278"/>
        <w:jc w:val="both"/>
      </w:pPr>
      <w:r>
        <w:rPr>
          <w:rFonts w:ascii="Calibri" w:cs="Calibri" w:eastAsia="Calibri" w:hAnsi="Calibri"/>
          <w:sz w:val="21"/>
          <w:szCs w:val="21"/>
        </w:rPr>
        <w:t xml:space="preserve">SEDAS helps you avoid being tricked by fraudulent emails and websites. Attacks of this kind, commonly called phishing, work by persuading a person to act quickly without checking, usually by pretending to be an organisation you trust and creating a sense of urgency.</w:t>
      </w:r>
    </w:p>
    <w:p>
      <w:pPr>
        <w:spacing w:after="125" w:line="278"/>
        <w:jc w:val="both"/>
      </w:pPr>
      <w:r>
        <w:rPr>
          <w:rFonts w:ascii="Calibri" w:cs="Calibri" w:eastAsia="Calibri" w:hAnsi="Calibri"/>
          <w:sz w:val="21"/>
          <w:szCs w:val="21"/>
        </w:rPr>
        <w:t xml:space="preserve">SEDAS helps in three ways:</w:t>
      </w:r>
    </w:p>
    <w:p>
      <w:pPr>
        <w:pStyle w:val="ListParagraph"/>
        <w:numPr>
          <w:ilvl w:val="0"/>
          <w:numId w:val="2"/>
        </w:numPr>
        <w:spacing w:after="75" w:line="268"/>
      </w:pPr>
      <w:r>
        <w:rPr>
          <w:rFonts w:ascii="Calibri" w:cs="Calibri" w:eastAsia="Calibri" w:hAnsi="Calibri"/>
          <w:b/>
          <w:bCs/>
          <w:sz w:val="21"/>
          <w:szCs w:val="21"/>
        </w:rPr>
        <w:t xml:space="preserve">It checks emails —</w:t>
      </w:r>
      <w:r>
        <w:rPr>
          <w:rFonts w:ascii="Calibri" w:cs="Calibri" w:eastAsia="Calibri" w:hAnsi="Calibri"/>
          <w:sz w:val="21"/>
          <w:szCs w:val="21"/>
        </w:rPr>
        <w:t xml:space="preserve"> Paste an email you are unsure about and SEDAS tells you how likely it is to be fraudulent, and which words in it raised concern.</w:t>
      </w:r>
    </w:p>
    <w:p>
      <w:pPr>
        <w:pStyle w:val="ListParagraph"/>
        <w:numPr>
          <w:ilvl w:val="0"/>
          <w:numId w:val="2"/>
        </w:numPr>
        <w:spacing w:after="75" w:line="268"/>
      </w:pPr>
      <w:r>
        <w:rPr>
          <w:rFonts w:ascii="Calibri" w:cs="Calibri" w:eastAsia="Calibri" w:hAnsi="Calibri"/>
          <w:b/>
          <w:bCs/>
          <w:sz w:val="21"/>
          <w:szCs w:val="21"/>
        </w:rPr>
        <w:t xml:space="preserve">It checks links —</w:t>
      </w:r>
      <w:r>
        <w:rPr>
          <w:rFonts w:ascii="Calibri" w:cs="Calibri" w:eastAsia="Calibri" w:hAnsi="Calibri"/>
          <w:sz w:val="21"/>
          <w:szCs w:val="21"/>
        </w:rPr>
        <w:t xml:space="preserve"> Paste a web link and SEDAS examines its structure for warning signs, and checks whether anyone has previously reported it as dangerous.</w:t>
      </w:r>
    </w:p>
    <w:p>
      <w:pPr>
        <w:pStyle w:val="ListParagraph"/>
        <w:numPr>
          <w:ilvl w:val="0"/>
          <w:numId w:val="2"/>
        </w:numPr>
        <w:spacing w:after="75" w:line="268"/>
      </w:pPr>
      <w:r>
        <w:rPr>
          <w:rFonts w:ascii="Calibri" w:cs="Calibri" w:eastAsia="Calibri" w:hAnsi="Calibri"/>
          <w:b/>
          <w:bCs/>
          <w:sz w:val="21"/>
          <w:szCs w:val="21"/>
        </w:rPr>
        <w:t xml:space="preserve">It teaches you what to look for —</w:t>
      </w:r>
      <w:r>
        <w:rPr>
          <w:rFonts w:ascii="Calibri" w:cs="Calibri" w:eastAsia="Calibri" w:hAnsi="Calibri"/>
          <w:sz w:val="21"/>
          <w:szCs w:val="21"/>
        </w:rPr>
        <w:t xml:space="preserve"> Short lessons and quizzes help you recognise these attacks yourself, adapting to how well you are doing.</w:t>
      </w:r>
    </w:p>
    <w:p>
      <w:pPr>
        <w:shd w:fill="FBF3E6" w:val="clear"/>
        <w:spacing w:after="170" w:before="90" w:line="270"/>
        <w:ind w:left="215" w:right="215"/>
      </w:pPr>
      <w:r>
        <w:rPr>
          <w:rFonts w:ascii="Calibri" w:cs="Calibri" w:eastAsia="Calibri" w:hAnsi="Calibri"/>
          <w:color w:val="8C4A00"/>
          <w:sz w:val="20"/>
          <w:szCs w:val="20"/>
        </w:rPr>
        <w:t xml:space="preserve">SEDAS is a guide, not a guarantee. It is very accurate, but no system catches every attack. If something feels wrong about a message, trust that instinct even when SEDAS says the message is fine.</w:t>
      </w:r>
    </w:p>
    <w:p>
      <w:pPr>
        <w:pStyle w:val="Heading1"/>
        <w:spacing w:after="150" w:before="340"/>
      </w:pPr>
      <w:r>
        <w:rPr>
          <w:rFonts w:ascii="Calibri" w:cs="Calibri" w:eastAsia="Calibri" w:hAnsi="Calibri"/>
          <w:b/>
          <w:bCs/>
          <w:color w:val="1F4E5F"/>
          <w:sz w:val="28"/>
          <w:szCs w:val="28"/>
        </w:rPr>
        <w:t xml:space="preserve">2. Getting Started</w:t>
      </w:r>
    </w:p>
    <w:p>
      <w:pPr>
        <w:spacing w:after="125" w:line="278"/>
        <w:jc w:val="both"/>
      </w:pPr>
      <w:r>
        <w:rPr>
          <w:rFonts w:ascii="Calibri" w:cs="Calibri" w:eastAsia="Calibri" w:hAnsi="Calibri"/>
          <w:sz w:val="21"/>
          <w:szCs w:val="21"/>
        </w:rPr>
        <w:t xml:space="preserve">SEDAS runs in your web browser. Your administrator will give you the address to open, or will have started the system on your own computer.</w:t>
      </w:r>
    </w:p>
    <w:p>
      <w:pPr>
        <w:spacing w:after="100" w:line="272"/>
        <w:ind w:left="460" w:hanging="460"/>
      </w:pPr>
      <w:r>
        <w:rPr>
          <w:rFonts w:ascii="Calibri" w:cs="Calibri" w:eastAsia="Calibri" w:hAnsi="Calibri"/>
          <w:b/>
          <w:bCs/>
          <w:color w:val="1F4E5F"/>
          <w:sz w:val="21"/>
          <w:szCs w:val="21"/>
        </w:rPr>
        <w:t xml:space="preserve">Step 1  </w:t>
      </w:r>
      <w:r>
        <w:rPr>
          <w:rFonts w:ascii="Calibri" w:cs="Calibri" w:eastAsia="Calibri" w:hAnsi="Calibri"/>
          <w:sz w:val="21"/>
          <w:szCs w:val="21"/>
        </w:rPr>
        <w:t xml:space="preserve">Make sure the SEDAS services have been started. If you are running SEDAS yourself, the administrator setup instructions cover this.</w:t>
      </w:r>
    </w:p>
    <w:p>
      <w:pPr>
        <w:spacing w:after="100" w:line="272"/>
        <w:ind w:left="460" w:hanging="460"/>
      </w:pPr>
      <w:r>
        <w:rPr>
          <w:rFonts w:ascii="Calibri" w:cs="Calibri" w:eastAsia="Calibri" w:hAnsi="Calibri"/>
          <w:b/>
          <w:bCs/>
          <w:color w:val="1F4E5F"/>
          <w:sz w:val="21"/>
          <w:szCs w:val="21"/>
        </w:rPr>
        <w:t xml:space="preserve">Step 2  </w:t>
      </w:r>
      <w:r>
        <w:rPr>
          <w:rFonts w:ascii="Calibri" w:cs="Calibri" w:eastAsia="Calibri" w:hAnsi="Calibri"/>
          <w:sz w:val="21"/>
          <w:szCs w:val="21"/>
        </w:rPr>
        <w:t xml:space="preserve">Open the SEDAS page in your browser.</w:t>
      </w:r>
    </w:p>
    <w:p>
      <w:pPr>
        <w:spacing w:after="100" w:line="272"/>
        <w:ind w:left="460" w:hanging="460"/>
      </w:pPr>
      <w:r>
        <w:rPr>
          <w:rFonts w:ascii="Calibri" w:cs="Calibri" w:eastAsia="Calibri" w:hAnsi="Calibri"/>
          <w:b/>
          <w:bCs/>
          <w:color w:val="1F4E5F"/>
          <w:sz w:val="21"/>
          <w:szCs w:val="21"/>
        </w:rPr>
        <w:t xml:space="preserve">Step 3  </w:t>
      </w:r>
      <w:r>
        <w:rPr>
          <w:rFonts w:ascii="Calibri" w:cs="Calibri" w:eastAsia="Calibri" w:hAnsi="Calibri"/>
          <w:sz w:val="21"/>
          <w:szCs w:val="21"/>
        </w:rPr>
        <w:t xml:space="preserve">You will see two sections: one for checking an email, and one for checking a web link. You can use either at any time.</w:t>
      </w:r>
    </w:p>
    <w:p>
      <w:pPr>
        <w:shd w:fill="FBF3E6" w:val="clear"/>
        <w:spacing w:after="170" w:before="90" w:line="270"/>
        <w:ind w:left="215" w:right="215"/>
      </w:pPr>
      <w:r>
        <w:rPr>
          <w:rFonts w:ascii="Calibri" w:cs="Calibri" w:eastAsia="Calibri" w:hAnsi="Calibri"/>
          <w:color w:val="8C4A00"/>
          <w:sz w:val="20"/>
          <w:szCs w:val="20"/>
        </w:rPr>
        <w:t xml:space="preserve">If a message appears saying SEDAS could not reach the service, the system has not been started or has stopped. Contact whoever set it up. Nothing you have entered is lost.</w:t>
      </w:r>
    </w:p>
    <w:p>
      <w:r>
        <w:br w:type="page"/>
      </w:r>
    </w:p>
    <w:p>
      <w:pPr>
        <w:pStyle w:val="Heading1"/>
        <w:spacing w:after="150" w:before="340"/>
      </w:pPr>
      <w:r>
        <w:rPr>
          <w:rFonts w:ascii="Calibri" w:cs="Calibri" w:eastAsia="Calibri" w:hAnsi="Calibri"/>
          <w:b/>
          <w:bCs/>
          <w:color w:val="1F4E5F"/>
          <w:sz w:val="28"/>
          <w:szCs w:val="28"/>
        </w:rPr>
        <w:t xml:space="preserve">3. Checking an Email</w:t>
      </w:r>
    </w:p>
    <w:p>
      <w:pPr>
        <w:spacing w:after="125" w:line="278"/>
        <w:jc w:val="both"/>
      </w:pPr>
      <w:r>
        <w:rPr>
          <w:rFonts w:ascii="Calibri" w:cs="Calibri" w:eastAsia="Calibri" w:hAnsi="Calibri"/>
          <w:sz w:val="21"/>
          <w:szCs w:val="21"/>
        </w:rPr>
        <w:t xml:space="preserve">Use this when you receive a message you are unsure about, particularly one asking you to click a link, log in, confirm details, or act urgently.</w:t>
      </w:r>
    </w:p>
    <w:p>
      <w:pPr>
        <w:spacing w:after="100" w:line="272"/>
        <w:ind w:left="460" w:hanging="460"/>
      </w:pPr>
      <w:r>
        <w:rPr>
          <w:rFonts w:ascii="Calibri" w:cs="Calibri" w:eastAsia="Calibri" w:hAnsi="Calibri"/>
          <w:b/>
          <w:bCs/>
          <w:color w:val="1F4E5F"/>
          <w:sz w:val="21"/>
          <w:szCs w:val="21"/>
        </w:rPr>
        <w:t xml:space="preserve">Step 1  </w:t>
      </w:r>
      <w:r>
        <w:rPr>
          <w:rFonts w:ascii="Calibri" w:cs="Calibri" w:eastAsia="Calibri" w:hAnsi="Calibri"/>
          <w:sz w:val="21"/>
          <w:szCs w:val="21"/>
        </w:rPr>
        <w:t xml:space="preserve">Open the email you want to check.</w:t>
      </w:r>
    </w:p>
    <w:p>
      <w:pPr>
        <w:spacing w:after="100" w:line="272"/>
        <w:ind w:left="460" w:hanging="460"/>
      </w:pPr>
      <w:r>
        <w:rPr>
          <w:rFonts w:ascii="Calibri" w:cs="Calibri" w:eastAsia="Calibri" w:hAnsi="Calibri"/>
          <w:b/>
          <w:bCs/>
          <w:color w:val="1F4E5F"/>
          <w:sz w:val="21"/>
          <w:szCs w:val="21"/>
        </w:rPr>
        <w:t xml:space="preserve">Step 2  </w:t>
      </w:r>
      <w:r>
        <w:rPr>
          <w:rFonts w:ascii="Calibri" w:cs="Calibri" w:eastAsia="Calibri" w:hAnsi="Calibri"/>
          <w:sz w:val="21"/>
          <w:szCs w:val="21"/>
        </w:rPr>
        <w:t xml:space="preserve">Select the message text and copy it. Include the subject line if you can. You do not need to include images or attachments.</w:t>
      </w:r>
    </w:p>
    <w:p>
      <w:pPr>
        <w:spacing w:after="100" w:line="272"/>
        <w:ind w:left="460" w:hanging="460"/>
      </w:pPr>
      <w:r>
        <w:rPr>
          <w:rFonts w:ascii="Calibri" w:cs="Calibri" w:eastAsia="Calibri" w:hAnsi="Calibri"/>
          <w:b/>
          <w:bCs/>
          <w:color w:val="1F4E5F"/>
          <w:sz w:val="21"/>
          <w:szCs w:val="21"/>
        </w:rPr>
        <w:t xml:space="preserve">Step 3  </w:t>
      </w:r>
      <w:r>
        <w:rPr>
          <w:rFonts w:ascii="Calibri" w:cs="Calibri" w:eastAsia="Calibri" w:hAnsi="Calibri"/>
          <w:sz w:val="21"/>
          <w:szCs w:val="21"/>
        </w:rPr>
        <w:t xml:space="preserve">Paste the text into the box under 'Check an email'.</w:t>
      </w:r>
    </w:p>
    <w:p>
      <w:pPr>
        <w:spacing w:after="100" w:line="272"/>
        <w:ind w:left="460" w:hanging="460"/>
      </w:pPr>
      <w:r>
        <w:rPr>
          <w:rFonts w:ascii="Calibri" w:cs="Calibri" w:eastAsia="Calibri" w:hAnsi="Calibri"/>
          <w:b/>
          <w:bCs/>
          <w:color w:val="1F4E5F"/>
          <w:sz w:val="21"/>
          <w:szCs w:val="21"/>
        </w:rPr>
        <w:t xml:space="preserve">Step 4  </w:t>
      </w:r>
      <w:r>
        <w:rPr>
          <w:rFonts w:ascii="Calibri" w:cs="Calibri" w:eastAsia="Calibri" w:hAnsi="Calibri"/>
          <w:sz w:val="21"/>
          <w:szCs w:val="21"/>
        </w:rPr>
        <w:t xml:space="preserve">Click 'Analyse email'.</w:t>
      </w:r>
    </w:p>
    <w:p>
      <w:pPr>
        <w:spacing w:after="100" w:line="272"/>
        <w:ind w:left="460" w:hanging="460"/>
      </w:pPr>
      <w:r>
        <w:rPr>
          <w:rFonts w:ascii="Calibri" w:cs="Calibri" w:eastAsia="Calibri" w:hAnsi="Calibri"/>
          <w:b/>
          <w:bCs/>
          <w:color w:val="1F4E5F"/>
          <w:sz w:val="21"/>
          <w:szCs w:val="21"/>
        </w:rPr>
        <w:t xml:space="preserve">Step 5  </w:t>
      </w:r>
      <w:r>
        <w:rPr>
          <w:rFonts w:ascii="Calibri" w:cs="Calibri" w:eastAsia="Calibri" w:hAnsi="Calibri"/>
          <w:sz w:val="21"/>
          <w:szCs w:val="21"/>
        </w:rPr>
        <w:t xml:space="preserve">The result appears below the button within a second or two.</w:t>
      </w:r>
    </w:p>
    <w:p>
      <w:pPr>
        <w:pStyle w:val="Heading2"/>
        <w:spacing w:after="110" w:before="260"/>
      </w:pPr>
      <w:r>
        <w:rPr>
          <w:rFonts w:ascii="Calibri" w:cs="Calibri" w:eastAsia="Calibri" w:hAnsi="Calibri"/>
          <w:b/>
          <w:bCs/>
          <w:color w:val="1F4E5F"/>
          <w:sz w:val="23"/>
          <w:szCs w:val="23"/>
        </w:rPr>
        <w:t xml:space="preserve">3.1 Understanding the result</w:t>
      </w:r>
    </w:p>
    <w:p>
      <w:pPr>
        <w:spacing w:after="125" w:line="278"/>
        <w:jc w:val="both"/>
      </w:pPr>
      <w:r>
        <w:rPr>
          <w:rFonts w:ascii="Calibri" w:cs="Calibri" w:eastAsia="Calibri" w:hAnsi="Calibri"/>
          <w:sz w:val="21"/>
          <w:szCs w:val="21"/>
        </w:rPr>
        <w:t xml:space="preserve">SEDAS shows three things: a verdict, a risk score, and the words that influenced the decision.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300"/>
      </w:tblGrid>
      <w:tr>
        <w:trPr>
          <w:tblHeader/>
        </w:trPr>
        <w:tc>
          <w:tcPr>
            <w:tcW w:type="dxa" w:w="22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Verdict</w:t>
            </w:r>
          </w:p>
        </w:tc>
        <w:tc>
          <w:tcPr>
            <w:tcW w:type="dxa" w:w="17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Risk score</w:t>
            </w:r>
          </w:p>
        </w:tc>
        <w:tc>
          <w:tcPr>
            <w:tcW w:type="dxa" w:w="53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What it means and what to do</w:t>
            </w:r>
          </w:p>
        </w:tc>
      </w:tr>
      <w:tr>
        <w:trPr>
          <w:tblHeader w:val="false"/>
        </w:trPr>
        <w:tc>
          <w:tcPr>
            <w:tcW w:type="dxa" w:w="2200"/>
            <w:tcMar>
              <w:top w:type="dxa" w:w="75"/>
              <w:left w:type="dxa" w:w="95"/>
              <w:bottom w:type="dxa" w:w="75"/>
              <w:right w:type="dxa" w:w="95"/>
            </w:tcMar>
          </w:tcPr>
          <w:p>
            <w:pPr>
              <w:spacing w:after="0" w:line="248"/>
            </w:pPr>
            <w:r>
              <w:rPr>
                <w:rFonts w:ascii="Calibri" w:cs="Calibri" w:eastAsia="Calibri" w:hAnsi="Calibri"/>
                <w:color w:val="B03A2E"/>
                <w:sz w:val="18"/>
                <w:szCs w:val="18"/>
              </w:rPr>
              <w:t xml:space="preserve">PHISHING (red)</w:t>
            </w:r>
          </w:p>
        </w:tc>
        <w:tc>
          <w:tcPr>
            <w:tcW w:type="dxa" w:w="1700"/>
            <w:tcMar>
              <w:top w:type="dxa" w:w="75"/>
              <w:left w:type="dxa" w:w="95"/>
              <w:bottom w:type="dxa" w:w="75"/>
              <w:right w:type="dxa" w:w="95"/>
            </w:tcMar>
          </w:tcPr>
          <w:p>
            <w:pPr>
              <w:spacing w:after="0" w:line="248"/>
            </w:pPr>
            <w:r>
              <w:rPr>
                <w:rFonts w:ascii="Calibri" w:cs="Calibri" w:eastAsia="Calibri" w:hAnsi="Calibri"/>
                <w:sz w:val="18"/>
                <w:szCs w:val="18"/>
              </w:rPr>
              <w:t xml:space="preserve">Above 50</w:t>
            </w:r>
          </w:p>
        </w:tc>
        <w:tc>
          <w:tcPr>
            <w:tcW w:type="dxa" w:w="5300"/>
            <w:tcMar>
              <w:top w:type="dxa" w:w="75"/>
              <w:left w:type="dxa" w:w="95"/>
              <w:bottom w:type="dxa" w:w="75"/>
              <w:right w:type="dxa" w:w="95"/>
            </w:tcMar>
          </w:tcPr>
          <w:p>
            <w:pPr>
              <w:spacing w:after="0" w:line="248"/>
            </w:pPr>
            <w:r>
              <w:rPr>
                <w:rFonts w:ascii="Calibri" w:cs="Calibri" w:eastAsia="Calibri" w:hAnsi="Calibri"/>
                <w:sz w:val="18"/>
                <w:szCs w:val="18"/>
              </w:rPr>
              <w:t xml:space="preserve">SEDAS considers this fraudulent. Do not click any links, do not reply, do not open attachments, and do not enter any details. Report it to your IT or security team, then delete it.</w:t>
            </w:r>
          </w:p>
        </w:tc>
      </w:tr>
      <w:tr>
        <w:trPr>
          <w:tblHeader w:val="false"/>
        </w:trPr>
        <w:tc>
          <w:tcPr>
            <w:tcW w:type="dxa" w:w="2200"/>
            <w:shd w:fill="F4F8FA" w:val="clear"/>
            <w:tcMar>
              <w:top w:type="dxa" w:w="75"/>
              <w:left w:type="dxa" w:w="95"/>
              <w:bottom w:type="dxa" w:w="75"/>
              <w:right w:type="dxa" w:w="95"/>
            </w:tcMar>
          </w:tcPr>
          <w:p>
            <w:pPr>
              <w:spacing w:after="0" w:line="248"/>
            </w:pPr>
            <w:r>
              <w:rPr>
                <w:rFonts w:ascii="Calibri" w:cs="Calibri" w:eastAsia="Calibri" w:hAnsi="Calibri"/>
                <w:color w:val="2D6A4F"/>
                <w:sz w:val="18"/>
                <w:szCs w:val="18"/>
              </w:rPr>
              <w:t xml:space="preserve">LEGITIMATE (green)</w:t>
            </w:r>
          </w:p>
        </w:tc>
        <w:tc>
          <w:tcPr>
            <w:tcW w:type="dxa" w:w="17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Below 50</w:t>
            </w:r>
          </w:p>
        </w:tc>
        <w:tc>
          <w:tcPr>
            <w:tcW w:type="dxa" w:w="53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SEDAS found no strong signs of fraud. Continue as normal, but stay alert. If the message still feels wrong, verify with the sender through a channel you look up yourself.</w:t>
            </w:r>
          </w:p>
        </w:tc>
      </w:tr>
    </w:tbl>
    <w:p>
      <w:pPr>
        <w:spacing w:after="190" w:before="70"/>
      </w:pPr>
      <w:r>
        <w:rPr>
          <w:rFonts w:ascii="Calibri" w:cs="Calibri" w:eastAsia="Calibri" w:hAnsi="Calibri"/>
          <w:i/>
          <w:iCs/>
          <w:color w:val="555555"/>
          <w:sz w:val="18"/>
          <w:szCs w:val="18"/>
        </w:rPr>
        <w:t xml:space="preserve">Table 1: Email check verdicts and recommended action.</w:t>
      </w:r>
    </w:p>
    <w:p>
      <w:pPr>
        <w:pStyle w:val="Heading3"/>
        <w:spacing w:after="90" w:before="200"/>
      </w:pPr>
      <w:r>
        <w:rPr>
          <w:rFonts w:ascii="Calibri" w:cs="Calibri" w:eastAsia="Calibri" w:hAnsi="Calibri"/>
          <w:b/>
          <w:bCs/>
          <w:sz w:val="21"/>
          <w:szCs w:val="21"/>
        </w:rPr>
        <w:t xml:space="preserve">The risk score</w:t>
      </w:r>
    </w:p>
    <w:p>
      <w:pPr>
        <w:spacing w:after="125" w:line="278"/>
        <w:jc w:val="both"/>
      </w:pPr>
      <w:r>
        <w:rPr>
          <w:rFonts w:ascii="Calibri" w:cs="Calibri" w:eastAsia="Calibri" w:hAnsi="Calibri"/>
          <w:sz w:val="21"/>
          <w:szCs w:val="21"/>
        </w:rPr>
        <w:t xml:space="preserve">The risk score runs from 0 to 100. A score near 0 means SEDAS is confident the message is legitimate; a score near 100 means it is confident the message is fraudulent. Scores near the middle indicate uncertainty, and warrant extra caution rather than reliance on the verdict alone.</w:t>
      </w:r>
    </w:p>
    <w:p>
      <w:pPr>
        <w:pStyle w:val="Heading3"/>
        <w:spacing w:after="90" w:before="200"/>
      </w:pPr>
      <w:r>
        <w:rPr>
          <w:rFonts w:ascii="Calibri" w:cs="Calibri" w:eastAsia="Calibri" w:hAnsi="Calibri"/>
          <w:b/>
          <w:bCs/>
          <w:sz w:val="21"/>
          <w:szCs w:val="21"/>
        </w:rPr>
        <w:t xml:space="preserve">The highlighted words</w:t>
      </w:r>
    </w:p>
    <w:p>
      <w:pPr>
        <w:spacing w:after="125" w:line="278"/>
        <w:jc w:val="both"/>
      </w:pPr>
      <w:r>
        <w:rPr>
          <w:rFonts w:ascii="Calibri" w:cs="Calibri" w:eastAsia="Calibri" w:hAnsi="Calibri"/>
          <w:sz w:val="21"/>
          <w:szCs w:val="21"/>
        </w:rPr>
        <w:t xml:space="preserve">Beneath the verdict, SEDAS shows the words in your message that most influenced its decision. This is deliberate: rather than asking you to trust a verdict, SEDAS shows its reasoning so you can judge whether it makes sense.</w:t>
      </w:r>
    </w:p>
    <w:p>
      <w:pPr>
        <w:spacing w:after="125" w:line="278"/>
        <w:jc w:val="both"/>
      </w:pPr>
      <w:r>
        <w:rPr>
          <w:rFonts w:ascii="Calibri" w:cs="Calibri" w:eastAsia="Calibri" w:hAnsi="Calibri"/>
          <w:sz w:val="21"/>
          <w:szCs w:val="21"/>
        </w:rPr>
        <w:t xml:space="preserve">For example, an email flagged as phishing might highlight the words account, verify, click and immediately. Seeing these together is itself a useful warning sign, and recognising that pattern helps you spot the next attack without assistance.</w:t>
      </w:r>
    </w:p>
    <w:p>
      <w:pPr>
        <w:pStyle w:val="Heading3"/>
        <w:spacing w:after="90" w:before="200"/>
      </w:pPr>
      <w:r>
        <w:rPr>
          <w:rFonts w:ascii="Calibri" w:cs="Calibri" w:eastAsia="Calibri" w:hAnsi="Calibri"/>
          <w:b/>
          <w:bCs/>
          <w:sz w:val="21"/>
          <w:szCs w:val="21"/>
        </w:rPr>
        <w:t xml:space="preserve">Response time</w:t>
      </w:r>
    </w:p>
    <w:p>
      <w:pPr>
        <w:spacing w:after="125" w:line="278"/>
        <w:jc w:val="both"/>
      </w:pPr>
      <w:r>
        <w:rPr>
          <w:rFonts w:ascii="Calibri" w:cs="Calibri" w:eastAsia="Calibri" w:hAnsi="Calibri"/>
          <w:sz w:val="21"/>
          <w:szCs w:val="21"/>
        </w:rPr>
        <w:t xml:space="preserve">The result also shows how long the check took, typically around ten milliseconds. This is included so you can see the system is responding normally.</w:t>
      </w:r>
    </w:p>
    <w:p>
      <w:r>
        <w:br w:type="page"/>
      </w:r>
    </w:p>
    <w:p>
      <w:pPr>
        <w:pStyle w:val="Heading1"/>
        <w:spacing w:after="150" w:before="340"/>
      </w:pPr>
      <w:r>
        <w:rPr>
          <w:rFonts w:ascii="Calibri" w:cs="Calibri" w:eastAsia="Calibri" w:hAnsi="Calibri"/>
          <w:b/>
          <w:bCs/>
          <w:color w:val="1F4E5F"/>
          <w:sz w:val="28"/>
          <w:szCs w:val="28"/>
        </w:rPr>
        <w:t xml:space="preserve">4. Checking a Web Link</w:t>
      </w:r>
    </w:p>
    <w:p>
      <w:pPr>
        <w:spacing w:after="125" w:line="278"/>
        <w:jc w:val="both"/>
      </w:pPr>
      <w:r>
        <w:rPr>
          <w:rFonts w:ascii="Calibri" w:cs="Calibri" w:eastAsia="Calibri" w:hAnsi="Calibri"/>
          <w:sz w:val="21"/>
          <w:szCs w:val="21"/>
        </w:rPr>
        <w:t xml:space="preserve">Use this before clicking any link you did not expect, particularly one asking you to log in or confirm information.</w:t>
      </w:r>
    </w:p>
    <w:p>
      <w:pPr>
        <w:spacing w:after="100" w:line="272"/>
        <w:ind w:left="460" w:hanging="460"/>
      </w:pPr>
      <w:r>
        <w:rPr>
          <w:rFonts w:ascii="Calibri" w:cs="Calibri" w:eastAsia="Calibri" w:hAnsi="Calibri"/>
          <w:b/>
          <w:bCs/>
          <w:color w:val="1F4E5F"/>
          <w:sz w:val="21"/>
          <w:szCs w:val="21"/>
        </w:rPr>
        <w:t xml:space="preserve">Step 1  </w:t>
      </w:r>
      <w:r>
        <w:rPr>
          <w:rFonts w:ascii="Calibri" w:cs="Calibri" w:eastAsia="Calibri" w:hAnsi="Calibri"/>
          <w:sz w:val="21"/>
          <w:szCs w:val="21"/>
        </w:rPr>
        <w:t xml:space="preserve">Copy the link without clicking it. On a computer, right-click the link and choose 'Copy link address'. On a phone, press and hold the link, then choose to copy it.</w:t>
      </w:r>
    </w:p>
    <w:p>
      <w:pPr>
        <w:spacing w:after="100" w:line="272"/>
        <w:ind w:left="460" w:hanging="460"/>
      </w:pPr>
      <w:r>
        <w:rPr>
          <w:rFonts w:ascii="Calibri" w:cs="Calibri" w:eastAsia="Calibri" w:hAnsi="Calibri"/>
          <w:b/>
          <w:bCs/>
          <w:color w:val="1F4E5F"/>
          <w:sz w:val="21"/>
          <w:szCs w:val="21"/>
        </w:rPr>
        <w:t xml:space="preserve">Step 2  </w:t>
      </w:r>
      <w:r>
        <w:rPr>
          <w:rFonts w:ascii="Calibri" w:cs="Calibri" w:eastAsia="Calibri" w:hAnsi="Calibri"/>
          <w:sz w:val="21"/>
          <w:szCs w:val="21"/>
        </w:rPr>
        <w:t xml:space="preserve">Paste it into the box under 'Verify a URL'.</w:t>
      </w:r>
    </w:p>
    <w:p>
      <w:pPr>
        <w:spacing w:after="100" w:line="272"/>
        <w:ind w:left="460" w:hanging="460"/>
      </w:pPr>
      <w:r>
        <w:rPr>
          <w:rFonts w:ascii="Calibri" w:cs="Calibri" w:eastAsia="Calibri" w:hAnsi="Calibri"/>
          <w:b/>
          <w:bCs/>
          <w:color w:val="1F4E5F"/>
          <w:sz w:val="21"/>
          <w:szCs w:val="21"/>
        </w:rPr>
        <w:t xml:space="preserve">Step 3  </w:t>
      </w:r>
      <w:r>
        <w:rPr>
          <w:rFonts w:ascii="Calibri" w:cs="Calibri" w:eastAsia="Calibri" w:hAnsi="Calibri"/>
          <w:sz w:val="21"/>
          <w:szCs w:val="21"/>
        </w:rPr>
        <w:t xml:space="preserve">Click 'Verify URL'.</w:t>
      </w:r>
    </w:p>
    <w:p>
      <w:pPr>
        <w:shd w:fill="FBEAE8" w:val="clear"/>
        <w:spacing w:after="170" w:before="90" w:line="270"/>
        <w:ind w:left="215" w:right="215"/>
      </w:pPr>
      <w:r>
        <w:rPr>
          <w:rFonts w:ascii="Calibri" w:cs="Calibri" w:eastAsia="Calibri" w:hAnsi="Calibri"/>
          <w:color w:val="B03A2E"/>
          <w:sz w:val="20"/>
          <w:szCs w:val="20"/>
        </w:rPr>
        <w:t xml:space="preserve">Copy the link — do not click it to see where it goes. Visiting a fraudulent page can be enough to put you at risk, even if you enter nothing.</w:t>
      </w:r>
    </w:p>
    <w:p>
      <w:pPr>
        <w:pStyle w:val="Heading2"/>
        <w:spacing w:after="110" w:before="260"/>
      </w:pPr>
      <w:r>
        <w:rPr>
          <w:rFonts w:ascii="Calibri" w:cs="Calibri" w:eastAsia="Calibri" w:hAnsi="Calibri"/>
          <w:b/>
          <w:bCs/>
          <w:color w:val="1F4E5F"/>
          <w:sz w:val="23"/>
          <w:szCs w:val="23"/>
        </w:rPr>
        <w:t xml:space="preserve">4.1 Understanding the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Verdict</w:t>
            </w:r>
          </w:p>
        </w:tc>
        <w:tc>
          <w:tcPr>
            <w:tcW w:type="dxa" w:w="68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What it means and what to do</w:t>
            </w:r>
          </w:p>
        </w:tc>
      </w:tr>
      <w:tr>
        <w:trPr>
          <w:tblHeader w:val="false"/>
        </w:trPr>
        <w:tc>
          <w:tcPr>
            <w:tcW w:type="dxa" w:w="2200"/>
            <w:tcMar>
              <w:top w:type="dxa" w:w="75"/>
              <w:left w:type="dxa" w:w="95"/>
              <w:bottom w:type="dxa" w:w="75"/>
              <w:right w:type="dxa" w:w="95"/>
            </w:tcMar>
          </w:tcPr>
          <w:p>
            <w:pPr>
              <w:spacing w:after="0" w:line="248"/>
            </w:pPr>
            <w:r>
              <w:rPr>
                <w:rFonts w:ascii="Calibri" w:cs="Calibri" w:eastAsia="Calibri" w:hAnsi="Calibri"/>
                <w:color w:val="B03A2E"/>
                <w:sz w:val="18"/>
                <w:szCs w:val="18"/>
              </w:rPr>
              <w:t xml:space="preserve">BLOCKED (red)</w:t>
            </w:r>
          </w:p>
        </w:tc>
        <w:tc>
          <w:tcPr>
            <w:tcW w:type="dxa" w:w="6800"/>
            <w:tcMar>
              <w:top w:type="dxa" w:w="75"/>
              <w:left w:type="dxa" w:w="95"/>
              <w:bottom w:type="dxa" w:w="75"/>
              <w:right w:type="dxa" w:w="95"/>
            </w:tcMar>
          </w:tcPr>
          <w:p>
            <w:pPr>
              <w:spacing w:after="0" w:line="248"/>
            </w:pPr>
            <w:r>
              <w:rPr>
                <w:rFonts w:ascii="Calibri" w:cs="Calibri" w:eastAsia="Calibri" w:hAnsi="Calibri"/>
                <w:sz w:val="18"/>
                <w:szCs w:val="18"/>
              </w:rPr>
              <w:t xml:space="preserve">This link has been reported as dangerous by someone in your organisation. Do not visit it. Report the message that contained it.</w:t>
            </w:r>
          </w:p>
        </w:tc>
      </w:tr>
      <w:tr>
        <w:trPr>
          <w:tblHeader w:val="false"/>
        </w:trPr>
        <w:tc>
          <w:tcPr>
            <w:tcW w:type="dxa" w:w="2200"/>
            <w:shd w:fill="F4F8FA" w:val="clear"/>
            <w:tcMar>
              <w:top w:type="dxa" w:w="75"/>
              <w:left w:type="dxa" w:w="95"/>
              <w:bottom w:type="dxa" w:w="75"/>
              <w:right w:type="dxa" w:w="95"/>
            </w:tcMar>
          </w:tcPr>
          <w:p>
            <w:pPr>
              <w:spacing w:after="0" w:line="248"/>
            </w:pPr>
            <w:r>
              <w:rPr>
                <w:rFonts w:ascii="Calibri" w:cs="Calibri" w:eastAsia="Calibri" w:hAnsi="Calibri"/>
                <w:color w:val="B03A2E"/>
                <w:sz w:val="18"/>
                <w:szCs w:val="18"/>
              </w:rPr>
              <w:t xml:space="preserve">SUSPICIOUS (red)</w:t>
            </w:r>
          </w:p>
        </w:tc>
        <w:tc>
          <w:tcPr>
            <w:tcW w:type="dxa" w:w="68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Nobody has reported this link yet, but its structure shows several warning signs. Treat it as unsafe unless you can independently confirm it is genuine.</w:t>
            </w:r>
          </w:p>
        </w:tc>
      </w:tr>
      <w:tr>
        <w:trPr>
          <w:tblHeader w:val="false"/>
        </w:trPr>
        <w:tc>
          <w:tcPr>
            <w:tcW w:type="dxa" w:w="2200"/>
            <w:tcMar>
              <w:top w:type="dxa" w:w="75"/>
              <w:left w:type="dxa" w:w="95"/>
              <w:bottom w:type="dxa" w:w="75"/>
              <w:right w:type="dxa" w:w="95"/>
            </w:tcMar>
          </w:tcPr>
          <w:p>
            <w:pPr>
              <w:spacing w:after="0" w:line="248"/>
            </w:pPr>
            <w:r>
              <w:rPr>
                <w:rFonts w:ascii="Calibri" w:cs="Calibri" w:eastAsia="Calibri" w:hAnsi="Calibri"/>
                <w:color w:val="2D6A4F"/>
                <w:sz w:val="18"/>
                <w:szCs w:val="18"/>
              </w:rPr>
              <w:t xml:space="preserve">TRUSTED (green)</w:t>
            </w:r>
          </w:p>
        </w:tc>
        <w:tc>
          <w:tcPr>
            <w:tcW w:type="dxa" w:w="6800"/>
            <w:tcMar>
              <w:top w:type="dxa" w:w="75"/>
              <w:left w:type="dxa" w:w="95"/>
              <w:bottom w:type="dxa" w:w="75"/>
              <w:right w:type="dxa" w:w="95"/>
            </w:tcMar>
          </w:tcPr>
          <w:p>
            <w:pPr>
              <w:spacing w:after="0" w:line="248"/>
            </w:pPr>
            <w:r>
              <w:rPr>
                <w:rFonts w:ascii="Calibri" w:cs="Calibri" w:eastAsia="Calibri" w:hAnsi="Calibri"/>
                <w:sz w:val="18"/>
                <w:szCs w:val="18"/>
              </w:rPr>
              <w:t xml:space="preserve">This link has been checked and recorded as safe, and shows no warning signs.</w:t>
            </w:r>
          </w:p>
        </w:tc>
      </w:tr>
      <w:tr>
        <w:trPr>
          <w:tblHeader w:val="false"/>
        </w:trPr>
        <w:tc>
          <w:tcPr>
            <w:tcW w:type="dxa" w:w="2200"/>
            <w:shd w:fill="F4F8FA" w:val="clear"/>
            <w:tcMar>
              <w:top w:type="dxa" w:w="75"/>
              <w:left w:type="dxa" w:w="95"/>
              <w:bottom w:type="dxa" w:w="75"/>
              <w:right w:type="dxa" w:w="95"/>
            </w:tcMar>
          </w:tcPr>
          <w:p>
            <w:pPr>
              <w:spacing w:after="0" w:line="248"/>
            </w:pPr>
            <w:r>
              <w:rPr>
                <w:rFonts w:ascii="Calibri" w:cs="Calibri" w:eastAsia="Calibri" w:hAnsi="Calibri"/>
                <w:color w:val="2D6A4F"/>
                <w:sz w:val="18"/>
                <w:szCs w:val="18"/>
              </w:rPr>
              <w:t xml:space="preserve">LOW RISK (green)</w:t>
            </w:r>
          </w:p>
        </w:tc>
        <w:tc>
          <w:tcPr>
            <w:tcW w:type="dxa" w:w="68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No warning signs were found and there are no previous reports. Reasonably safe, though not a guarantee.</w:t>
            </w:r>
          </w:p>
        </w:tc>
      </w:tr>
    </w:tbl>
    <w:p>
      <w:pPr>
        <w:spacing w:after="190" w:before="70"/>
      </w:pPr>
      <w:r>
        <w:rPr>
          <w:rFonts w:ascii="Calibri" w:cs="Calibri" w:eastAsia="Calibri" w:hAnsi="Calibri"/>
          <w:i/>
          <w:iCs/>
          <w:color w:val="555555"/>
          <w:sz w:val="18"/>
          <w:szCs w:val="18"/>
        </w:rPr>
        <w:t xml:space="preserve">Table 2: Link check verdicts and recommended action.</w:t>
      </w:r>
    </w:p>
    <w:p>
      <w:pPr>
        <w:pStyle w:val="Heading2"/>
        <w:spacing w:after="110" w:before="260"/>
      </w:pPr>
      <w:r>
        <w:rPr>
          <w:rFonts w:ascii="Calibri" w:cs="Calibri" w:eastAsia="Calibri" w:hAnsi="Calibri"/>
          <w:b/>
          <w:bCs/>
          <w:color w:val="1F4E5F"/>
          <w:sz w:val="23"/>
          <w:szCs w:val="23"/>
        </w:rPr>
        <w:t xml:space="preserve">4.2 The warning signs SEDAS looks for</w:t>
      </w:r>
    </w:p>
    <w:p>
      <w:pPr>
        <w:spacing w:after="125" w:line="278"/>
        <w:jc w:val="both"/>
      </w:pPr>
      <w:r>
        <w:rPr>
          <w:rFonts w:ascii="Calibri" w:cs="Calibri" w:eastAsia="Calibri" w:hAnsi="Calibri"/>
          <w:sz w:val="21"/>
          <w:szCs w:val="21"/>
        </w:rPr>
        <w:t xml:space="preserve">SEDAS lists the specific problems it found with a link. Understanding these helps you recognise dangerous links yourself.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Warning sign</w:t>
            </w:r>
          </w:p>
        </w:tc>
        <w:tc>
          <w:tcPr>
            <w:tcW w:type="dxa" w:w="60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Why it matters</w:t>
            </w:r>
          </w:p>
        </w:tc>
      </w:tr>
      <w:tr>
        <w:trPr>
          <w:tblHeader w:val="false"/>
        </w:trPr>
        <w:tc>
          <w:tcPr>
            <w:tcW w:type="dxa" w:w="3000"/>
            <w:tcMar>
              <w:top w:type="dxa" w:w="75"/>
              <w:left w:type="dxa" w:w="95"/>
              <w:bottom w:type="dxa" w:w="75"/>
              <w:right w:type="dxa" w:w="95"/>
            </w:tcMar>
          </w:tcPr>
          <w:p>
            <w:pPr>
              <w:spacing w:after="0" w:line="248"/>
            </w:pPr>
            <w:r>
              <w:rPr>
                <w:rFonts w:ascii="Calibri" w:cs="Calibri" w:eastAsia="Calibri" w:hAnsi="Calibri"/>
                <w:sz w:val="18"/>
                <w:szCs w:val="18"/>
              </w:rPr>
              <w:t xml:space="preserve">No HTTPS</w:t>
            </w:r>
          </w:p>
        </w:tc>
        <w:tc>
          <w:tcPr>
            <w:tcW w:type="dxa" w:w="6000"/>
            <w:tcMar>
              <w:top w:type="dxa" w:w="75"/>
              <w:left w:type="dxa" w:w="95"/>
              <w:bottom w:type="dxa" w:w="75"/>
              <w:right w:type="dxa" w:w="95"/>
            </w:tcMar>
          </w:tcPr>
          <w:p>
            <w:pPr>
              <w:spacing w:after="0" w:line="248"/>
            </w:pPr>
            <w:r>
              <w:rPr>
                <w:rFonts w:ascii="Calibri" w:cs="Calibri" w:eastAsia="Calibri" w:hAnsi="Calibri"/>
                <w:sz w:val="18"/>
                <w:szCs w:val="18"/>
              </w:rPr>
              <w:t xml:space="preserve">The connection is not encrypted. Legitimate sites asking for login details always use HTTPS.</w:t>
            </w:r>
          </w:p>
        </w:tc>
      </w:tr>
      <w:tr>
        <w:trPr>
          <w:tblHeader w:val="false"/>
        </w:trPr>
        <w:tc>
          <w:tcPr>
            <w:tcW w:type="dxa" w:w="30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Web address is a number</w:t>
            </w:r>
          </w:p>
        </w:tc>
        <w:tc>
          <w:tcPr>
            <w:tcW w:type="dxa" w:w="60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Genuine organisations use names, not numeric addresses.</w:t>
            </w:r>
          </w:p>
        </w:tc>
      </w:tr>
      <w:tr>
        <w:trPr>
          <w:tblHeader w:val="false"/>
        </w:trPr>
        <w:tc>
          <w:tcPr>
            <w:tcW w:type="dxa" w:w="3000"/>
            <w:tcMar>
              <w:top w:type="dxa" w:w="75"/>
              <w:left w:type="dxa" w:w="95"/>
              <w:bottom w:type="dxa" w:w="75"/>
              <w:right w:type="dxa" w:w="95"/>
            </w:tcMar>
          </w:tcPr>
          <w:p>
            <w:pPr>
              <w:spacing w:after="0" w:line="248"/>
            </w:pPr>
            <w:r>
              <w:rPr>
                <w:rFonts w:ascii="Calibri" w:cs="Calibri" w:eastAsia="Calibri" w:hAnsi="Calibri"/>
                <w:sz w:val="18"/>
                <w:szCs w:val="18"/>
              </w:rPr>
              <w:t xml:space="preserve">Contains an @ symbol</w:t>
            </w:r>
          </w:p>
        </w:tc>
        <w:tc>
          <w:tcPr>
            <w:tcW w:type="dxa" w:w="6000"/>
            <w:tcMar>
              <w:top w:type="dxa" w:w="75"/>
              <w:left w:type="dxa" w:w="95"/>
              <w:bottom w:type="dxa" w:w="75"/>
              <w:right w:type="dxa" w:w="95"/>
            </w:tcMar>
          </w:tcPr>
          <w:p>
            <w:pPr>
              <w:spacing w:after="0" w:line="248"/>
            </w:pPr>
            <w:r>
              <w:rPr>
                <w:rFonts w:ascii="Calibri" w:cs="Calibri" w:eastAsia="Calibri" w:hAnsi="Calibri"/>
                <w:sz w:val="18"/>
                <w:szCs w:val="18"/>
              </w:rPr>
              <w:t xml:space="preserve">Browsers ignore everything before the @, so the real destination is hidden.</w:t>
            </w:r>
          </w:p>
        </w:tc>
      </w:tr>
      <w:tr>
        <w:trPr>
          <w:tblHeader w:val="false"/>
        </w:trPr>
        <w:tc>
          <w:tcPr>
            <w:tcW w:type="dxa" w:w="30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Several hyphens in the name</w:t>
            </w:r>
          </w:p>
        </w:tc>
        <w:tc>
          <w:tcPr>
            <w:tcW w:type="dxa" w:w="60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Often used to imitate a real organisation, such as apex-secure-login rather than apex.</w:t>
            </w:r>
          </w:p>
        </w:tc>
      </w:tr>
      <w:tr>
        <w:trPr>
          <w:tblHeader w:val="false"/>
        </w:trPr>
        <w:tc>
          <w:tcPr>
            <w:tcW w:type="dxa" w:w="3000"/>
            <w:tcMar>
              <w:top w:type="dxa" w:w="75"/>
              <w:left w:type="dxa" w:w="95"/>
              <w:bottom w:type="dxa" w:w="75"/>
              <w:right w:type="dxa" w:w="95"/>
            </w:tcMar>
          </w:tcPr>
          <w:p>
            <w:pPr>
              <w:spacing w:after="0" w:line="248"/>
            </w:pPr>
            <w:r>
              <w:rPr>
                <w:rFonts w:ascii="Calibri" w:cs="Calibri" w:eastAsia="Calibri" w:hAnsi="Calibri"/>
                <w:sz w:val="18"/>
                <w:szCs w:val="18"/>
              </w:rPr>
              <w:t xml:space="preserve">Too many full stops</w:t>
            </w:r>
          </w:p>
        </w:tc>
        <w:tc>
          <w:tcPr>
            <w:tcW w:type="dxa" w:w="6000"/>
            <w:tcMar>
              <w:top w:type="dxa" w:w="75"/>
              <w:left w:type="dxa" w:w="95"/>
              <w:bottom w:type="dxa" w:w="75"/>
              <w:right w:type="dxa" w:w="95"/>
            </w:tcMar>
          </w:tcPr>
          <w:p>
            <w:pPr>
              <w:spacing w:after="0" w:line="248"/>
            </w:pPr>
            <w:r>
              <w:rPr>
                <w:rFonts w:ascii="Calibri" w:cs="Calibri" w:eastAsia="Calibri" w:hAnsi="Calibri"/>
                <w:sz w:val="18"/>
                <w:szCs w:val="18"/>
              </w:rPr>
              <w:t xml:space="preserve">Places a trusted-looking name inside an address the attacker actually controls.</w:t>
            </w:r>
          </w:p>
        </w:tc>
      </w:tr>
      <w:tr>
        <w:trPr>
          <w:tblHeader w:val="false"/>
        </w:trPr>
        <w:tc>
          <w:tcPr>
            <w:tcW w:type="dxa" w:w="30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Unusual ending</w:t>
            </w:r>
          </w:p>
        </w:tc>
        <w:tc>
          <w:tcPr>
            <w:tcW w:type="dxa" w:w="60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Some address endings are used far more often for fraud than legitimate business.</w:t>
            </w:r>
          </w:p>
        </w:tc>
      </w:tr>
      <w:tr>
        <w:trPr>
          <w:tblHeader w:val="false"/>
        </w:trPr>
        <w:tc>
          <w:tcPr>
            <w:tcW w:type="dxa" w:w="3000"/>
            <w:tcMar>
              <w:top w:type="dxa" w:w="75"/>
              <w:left w:type="dxa" w:w="95"/>
              <w:bottom w:type="dxa" w:w="75"/>
              <w:right w:type="dxa" w:w="95"/>
            </w:tcMar>
          </w:tcPr>
          <w:p>
            <w:pPr>
              <w:spacing w:after="0" w:line="248"/>
            </w:pPr>
            <w:r>
              <w:rPr>
                <w:rFonts w:ascii="Calibri" w:cs="Calibri" w:eastAsia="Calibri" w:hAnsi="Calibri"/>
                <w:sz w:val="18"/>
                <w:szCs w:val="18"/>
              </w:rPr>
              <w:t xml:space="preserve">Shortened link</w:t>
            </w:r>
          </w:p>
        </w:tc>
        <w:tc>
          <w:tcPr>
            <w:tcW w:type="dxa" w:w="6000"/>
            <w:tcMar>
              <w:top w:type="dxa" w:w="75"/>
              <w:left w:type="dxa" w:w="95"/>
              <w:bottom w:type="dxa" w:w="75"/>
              <w:right w:type="dxa" w:w="95"/>
            </w:tcMar>
          </w:tcPr>
          <w:p>
            <w:pPr>
              <w:spacing w:after="0" w:line="248"/>
            </w:pPr>
            <w:r>
              <w:rPr>
                <w:rFonts w:ascii="Calibri" w:cs="Calibri" w:eastAsia="Calibri" w:hAnsi="Calibri"/>
                <w:sz w:val="18"/>
                <w:szCs w:val="18"/>
              </w:rPr>
              <w:t xml:space="preserve">The real destination cannot be seen before you click.</w:t>
            </w:r>
          </w:p>
        </w:tc>
      </w:tr>
      <w:tr>
        <w:trPr>
          <w:tblHeader w:val="false"/>
        </w:trPr>
        <w:tc>
          <w:tcPr>
            <w:tcW w:type="dxa" w:w="30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Very long address</w:t>
            </w:r>
          </w:p>
        </w:tc>
        <w:tc>
          <w:tcPr>
            <w:tcW w:type="dxa" w:w="60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Length is used to push the real destination out of view.</w:t>
            </w:r>
          </w:p>
        </w:tc>
      </w:tr>
      <w:tr>
        <w:trPr>
          <w:tblHeader w:val="false"/>
        </w:trPr>
        <w:tc>
          <w:tcPr>
            <w:tcW w:type="dxa" w:w="3000"/>
            <w:tcMar>
              <w:top w:type="dxa" w:w="75"/>
              <w:left w:type="dxa" w:w="95"/>
              <w:bottom w:type="dxa" w:w="75"/>
              <w:right w:type="dxa" w:w="95"/>
            </w:tcMar>
          </w:tcPr>
          <w:p>
            <w:pPr>
              <w:spacing w:after="0" w:line="248"/>
            </w:pPr>
            <w:r>
              <w:rPr>
                <w:rFonts w:ascii="Calibri" w:cs="Calibri" w:eastAsia="Calibri" w:hAnsi="Calibri"/>
                <w:sz w:val="18"/>
                <w:szCs w:val="18"/>
              </w:rPr>
              <w:t xml:space="preserve">Login-related words</w:t>
            </w:r>
          </w:p>
        </w:tc>
        <w:tc>
          <w:tcPr>
            <w:tcW w:type="dxa" w:w="6000"/>
            <w:tcMar>
              <w:top w:type="dxa" w:w="75"/>
              <w:left w:type="dxa" w:w="95"/>
              <w:bottom w:type="dxa" w:w="75"/>
              <w:right w:type="dxa" w:w="95"/>
            </w:tcMar>
          </w:tcPr>
          <w:p>
            <w:pPr>
              <w:spacing w:after="0" w:line="248"/>
            </w:pPr>
            <w:r>
              <w:rPr>
                <w:rFonts w:ascii="Calibri" w:cs="Calibri" w:eastAsia="Calibri" w:hAnsi="Calibri"/>
                <w:sz w:val="18"/>
                <w:szCs w:val="18"/>
              </w:rPr>
              <w:t xml:space="preserve">Words such as verify, secure, account and password in an address you did not expect.</w:t>
            </w:r>
          </w:p>
        </w:tc>
      </w:tr>
    </w:tbl>
    <w:p>
      <w:pPr>
        <w:spacing w:after="190" w:before="70"/>
      </w:pPr>
      <w:r>
        <w:rPr>
          <w:rFonts w:ascii="Calibri" w:cs="Calibri" w:eastAsia="Calibri" w:hAnsi="Calibri"/>
          <w:i/>
          <w:iCs/>
          <w:color w:val="555555"/>
          <w:sz w:val="18"/>
          <w:szCs w:val="18"/>
        </w:rPr>
        <w:t xml:space="preserve">Table 3: Link warning signs and their significance.</w:t>
      </w:r>
    </w:p>
    <w:p>
      <w:pPr>
        <w:pStyle w:val="Heading2"/>
        <w:spacing w:after="110" w:before="260"/>
      </w:pPr>
      <w:r>
        <w:rPr>
          <w:rFonts w:ascii="Calibri" w:cs="Calibri" w:eastAsia="Calibri" w:hAnsi="Calibri"/>
          <w:b/>
          <w:bCs/>
          <w:color w:val="1F4E5F"/>
          <w:sz w:val="23"/>
          <w:szCs w:val="23"/>
        </w:rPr>
        <w:t xml:space="preserve">4.3 The proof code</w:t>
      </w:r>
    </w:p>
    <w:p>
      <w:pPr>
        <w:spacing w:after="125" w:line="278"/>
        <w:jc w:val="both"/>
      </w:pPr>
      <w:r>
        <w:rPr>
          <w:rFonts w:ascii="Calibri" w:cs="Calibri" w:eastAsia="Calibri" w:hAnsi="Calibri"/>
          <w:sz w:val="21"/>
          <w:szCs w:val="21"/>
        </w:rPr>
        <w:t xml:space="preserve">When a link has been reported before, SEDAS displays a long code alongside the verdict. This is a security feature: each report is sealed with a code calculated from the report itself and from every report before it. If anyone altered a past record, the codes would no longer match and the system would detect it. You do not need to do anything with this code; it is shown so that reports can be verified as genuine.</w:t>
      </w:r>
    </w:p>
    <w:p>
      <w:pPr>
        <w:pStyle w:val="Heading2"/>
        <w:spacing w:after="110" w:before="260"/>
      </w:pPr>
      <w:r>
        <w:rPr>
          <w:rFonts w:ascii="Calibri" w:cs="Calibri" w:eastAsia="Calibri" w:hAnsi="Calibri"/>
          <w:b/>
          <w:bCs/>
          <w:color w:val="1F4E5F"/>
          <w:sz w:val="23"/>
          <w:szCs w:val="23"/>
        </w:rPr>
        <w:t xml:space="preserve">4.4 Reporting a dangerous link</w:t>
      </w:r>
    </w:p>
    <w:p>
      <w:pPr>
        <w:spacing w:after="125" w:line="278"/>
        <w:jc w:val="both"/>
      </w:pPr>
      <w:r>
        <w:rPr>
          <w:rFonts w:ascii="Calibri" w:cs="Calibri" w:eastAsia="Calibri" w:hAnsi="Calibri"/>
          <w:sz w:val="21"/>
          <w:szCs w:val="21"/>
        </w:rPr>
        <w:t xml:space="preserve">If you identify a link as fraudulent, reporting it protects everyone else, because the next person who checks it sees BLOCKED immediately. Reporting is currently performed by administrators; forward the details to your IT or security team, who will add it to the registry.</w:t>
      </w:r>
    </w:p>
    <w:p>
      <w:r>
        <w:br w:type="page"/>
      </w:r>
    </w:p>
    <w:p>
      <w:pPr>
        <w:pStyle w:val="Heading1"/>
        <w:spacing w:after="150" w:before="340"/>
      </w:pPr>
      <w:r>
        <w:rPr>
          <w:rFonts w:ascii="Calibri" w:cs="Calibri" w:eastAsia="Calibri" w:hAnsi="Calibri"/>
          <w:b/>
          <w:bCs/>
          <w:color w:val="1F4E5F"/>
          <w:sz w:val="28"/>
          <w:szCs w:val="28"/>
        </w:rPr>
        <w:t xml:space="preserve">5. Awareness Training</w:t>
      </w:r>
    </w:p>
    <w:p>
      <w:pPr>
        <w:spacing w:after="125" w:line="278"/>
        <w:jc w:val="both"/>
      </w:pPr>
      <w:r>
        <w:rPr>
          <w:rFonts w:ascii="Calibri" w:cs="Calibri" w:eastAsia="Calibri" w:hAnsi="Calibri"/>
          <w:sz w:val="21"/>
          <w:szCs w:val="21"/>
        </w:rPr>
        <w:t xml:space="preserve">The training module teaches you to recognise fraudulent messages without assistance. It adapts to your performance, so the lessons you receive reflect how confidently you are answering.</w:t>
      </w:r>
    </w:p>
    <w:p>
      <w:pPr>
        <w:pStyle w:val="Heading2"/>
        <w:spacing w:after="110" w:before="260"/>
      </w:pPr>
      <w:r>
        <w:rPr>
          <w:rFonts w:ascii="Calibri" w:cs="Calibri" w:eastAsia="Calibri" w:hAnsi="Calibri"/>
          <w:b/>
          <w:bCs/>
          <w:color w:val="1F4E5F"/>
          <w:sz w:val="23"/>
          <w:szCs w:val="23"/>
        </w:rPr>
        <w:t xml:space="preserve">5.1 How it works</w:t>
      </w:r>
    </w:p>
    <w:p>
      <w:pPr>
        <w:spacing w:after="100" w:line="272"/>
        <w:ind w:left="460" w:hanging="460"/>
      </w:pPr>
      <w:r>
        <w:rPr>
          <w:rFonts w:ascii="Calibri" w:cs="Calibri" w:eastAsia="Calibri" w:hAnsi="Calibri"/>
          <w:b/>
          <w:bCs/>
          <w:color w:val="1F4E5F"/>
          <w:sz w:val="21"/>
          <w:szCs w:val="21"/>
        </w:rPr>
        <w:t xml:space="preserve">Step 1  </w:t>
      </w:r>
      <w:r>
        <w:rPr>
          <w:rFonts w:ascii="Calibri" w:cs="Calibri" w:eastAsia="Calibri" w:hAnsi="Calibri"/>
          <w:sz w:val="21"/>
          <w:szCs w:val="21"/>
        </w:rPr>
        <w:t xml:space="preserve">You are registered with a role: student, staff or administrator. This determines which lessons you receive, because different roles face different attacks.</w:t>
      </w:r>
    </w:p>
    <w:p>
      <w:pPr>
        <w:spacing w:after="100" w:line="272"/>
        <w:ind w:left="460" w:hanging="460"/>
      </w:pPr>
      <w:r>
        <w:rPr>
          <w:rFonts w:ascii="Calibri" w:cs="Calibri" w:eastAsia="Calibri" w:hAnsi="Calibri"/>
          <w:b/>
          <w:bCs/>
          <w:color w:val="1F4E5F"/>
          <w:sz w:val="21"/>
          <w:szCs w:val="21"/>
        </w:rPr>
        <w:t xml:space="preserve">Step 2  </w:t>
      </w:r>
      <w:r>
        <w:rPr>
          <w:rFonts w:ascii="Calibri" w:cs="Calibri" w:eastAsia="Calibri" w:hAnsi="Calibri"/>
          <w:sz w:val="21"/>
          <w:szCs w:val="21"/>
        </w:rPr>
        <w:t xml:space="preserve">You are given a short lesson, typically under a hundred words, describing one type of attack and what to do about it.</w:t>
      </w:r>
    </w:p>
    <w:p>
      <w:pPr>
        <w:spacing w:after="100" w:line="272"/>
        <w:ind w:left="460" w:hanging="460"/>
      </w:pPr>
      <w:r>
        <w:rPr>
          <w:rFonts w:ascii="Calibri" w:cs="Calibri" w:eastAsia="Calibri" w:hAnsi="Calibri"/>
          <w:b/>
          <w:bCs/>
          <w:color w:val="1F4E5F"/>
          <w:sz w:val="21"/>
          <w:szCs w:val="21"/>
        </w:rPr>
        <w:t xml:space="preserve">Step 3  </w:t>
      </w:r>
      <w:r>
        <w:rPr>
          <w:rFonts w:ascii="Calibri" w:cs="Calibri" w:eastAsia="Calibri" w:hAnsi="Calibri"/>
          <w:sz w:val="21"/>
          <w:szCs w:val="21"/>
        </w:rPr>
        <w:t xml:space="preserve">A short quiz follows. Each question asks what you would do in a realistic situation.</w:t>
      </w:r>
    </w:p>
    <w:p>
      <w:pPr>
        <w:spacing w:after="100" w:line="272"/>
        <w:ind w:left="460" w:hanging="460"/>
      </w:pPr>
      <w:r>
        <w:rPr>
          <w:rFonts w:ascii="Calibri" w:cs="Calibri" w:eastAsia="Calibri" w:hAnsi="Calibri"/>
          <w:b/>
          <w:bCs/>
          <w:color w:val="1F4E5F"/>
          <w:sz w:val="21"/>
          <w:szCs w:val="21"/>
        </w:rPr>
        <w:t xml:space="preserve">Step 4  </w:t>
      </w:r>
      <w:r>
        <w:rPr>
          <w:rFonts w:ascii="Calibri" w:cs="Calibri" w:eastAsia="Calibri" w:hAnsi="Calibri"/>
          <w:sz w:val="21"/>
          <w:szCs w:val="21"/>
        </w:rPr>
        <w:t xml:space="preserve">After answering, you see immediately whether each answer was correct and, importantly, why. The explanation is the part that builds recognition.</w:t>
      </w:r>
    </w:p>
    <w:p>
      <w:pPr>
        <w:spacing w:after="100" w:line="272"/>
        <w:ind w:left="460" w:hanging="460"/>
      </w:pPr>
      <w:r>
        <w:rPr>
          <w:rFonts w:ascii="Calibri" w:cs="Calibri" w:eastAsia="Calibri" w:hAnsi="Calibri"/>
          <w:b/>
          <w:bCs/>
          <w:color w:val="1F4E5F"/>
          <w:sz w:val="21"/>
          <w:szCs w:val="21"/>
        </w:rPr>
        <w:t xml:space="preserve">Step 5  </w:t>
      </w:r>
      <w:r>
        <w:rPr>
          <w:rFonts w:ascii="Calibri" w:cs="Calibri" w:eastAsia="Calibri" w:hAnsi="Calibri"/>
          <w:sz w:val="21"/>
          <w:szCs w:val="21"/>
        </w:rPr>
        <w:t xml:space="preserve">Your risk score updates, and the next lesson is chosen to suit it.</w:t>
      </w:r>
    </w:p>
    <w:p>
      <w:pPr>
        <w:pStyle w:val="Heading2"/>
        <w:spacing w:after="110" w:before="260"/>
      </w:pPr>
      <w:r>
        <w:rPr>
          <w:rFonts w:ascii="Calibri" w:cs="Calibri" w:eastAsia="Calibri" w:hAnsi="Calibri"/>
          <w:b/>
          <w:bCs/>
          <w:color w:val="1F4E5F"/>
          <w:sz w:val="23"/>
          <w:szCs w:val="23"/>
        </w:rPr>
        <w:t xml:space="preserve">5.2 Your risk score</w:t>
      </w:r>
    </w:p>
    <w:p>
      <w:pPr>
        <w:spacing w:after="125" w:line="278"/>
        <w:jc w:val="both"/>
      </w:pPr>
      <w:r>
        <w:rPr>
          <w:rFonts w:ascii="Calibri" w:cs="Calibri" w:eastAsia="Calibri" w:hAnsi="Calibri"/>
          <w:sz w:val="21"/>
          <w:szCs w:val="21"/>
        </w:rPr>
        <w:t xml:space="preserve">Everyone starts at 50, a neutral position. Answering well lowers the score; answering poorly raises it. A single result does not swing the score dramatically, because recent performance is balanced against your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100"/>
      </w:tblGrid>
      <w:tr>
        <w:trPr>
          <w:tblHeader/>
        </w:trPr>
        <w:tc>
          <w:tcPr>
            <w:tcW w:type="dxa" w:w="22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Band</w:t>
            </w:r>
          </w:p>
        </w:tc>
        <w:tc>
          <w:tcPr>
            <w:tcW w:type="dxa" w:w="19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Score</w:t>
            </w:r>
          </w:p>
        </w:tc>
        <w:tc>
          <w:tcPr>
            <w:tcW w:type="dxa" w:w="51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What it means</w:t>
            </w:r>
          </w:p>
        </w:tc>
      </w:tr>
      <w:tr>
        <w:trPr>
          <w:tblHeader w:val="false"/>
        </w:trPr>
        <w:tc>
          <w:tcPr>
            <w:tcW w:type="dxa" w:w="2200"/>
            <w:tcMar>
              <w:top w:type="dxa" w:w="75"/>
              <w:left w:type="dxa" w:w="95"/>
              <w:bottom w:type="dxa" w:w="75"/>
              <w:right w:type="dxa" w:w="95"/>
            </w:tcMar>
          </w:tcPr>
          <w:p>
            <w:pPr>
              <w:spacing w:after="0" w:line="248"/>
            </w:pPr>
            <w:r>
              <w:rPr>
                <w:rFonts w:ascii="Calibri" w:cs="Calibri" w:eastAsia="Calibri" w:hAnsi="Calibri"/>
                <w:color w:val="2D6A4F"/>
                <w:sz w:val="18"/>
                <w:szCs w:val="18"/>
              </w:rPr>
              <w:t xml:space="preserve">Low</w:t>
            </w:r>
          </w:p>
        </w:tc>
        <w:tc>
          <w:tcPr>
            <w:tcW w:type="dxa" w:w="1900"/>
            <w:tcMar>
              <w:top w:type="dxa" w:w="75"/>
              <w:left w:type="dxa" w:w="95"/>
              <w:bottom w:type="dxa" w:w="75"/>
              <w:right w:type="dxa" w:w="95"/>
            </w:tcMar>
          </w:tcPr>
          <w:p>
            <w:pPr>
              <w:spacing w:after="0" w:line="248"/>
            </w:pPr>
            <w:r>
              <w:rPr>
                <w:rFonts w:ascii="Calibri" w:cs="Calibri" w:eastAsia="Calibri" w:hAnsi="Calibri"/>
                <w:sz w:val="18"/>
                <w:szCs w:val="18"/>
              </w:rPr>
              <w:t xml:space="preserve">Below 33</w:t>
            </w:r>
          </w:p>
        </w:tc>
        <w:tc>
          <w:tcPr>
            <w:tcW w:type="dxa" w:w="5100"/>
            <w:tcMar>
              <w:top w:type="dxa" w:w="75"/>
              <w:left w:type="dxa" w:w="95"/>
              <w:bottom w:type="dxa" w:w="75"/>
              <w:right w:type="dxa" w:w="95"/>
            </w:tcMar>
          </w:tcPr>
          <w:p>
            <w:pPr>
              <w:spacing w:after="0" w:line="248"/>
            </w:pPr>
            <w:r>
              <w:rPr>
                <w:rFonts w:ascii="Calibri" w:cs="Calibri" w:eastAsia="Calibri" w:hAnsi="Calibri"/>
                <w:sz w:val="18"/>
                <w:szCs w:val="18"/>
              </w:rPr>
              <w:t xml:space="preserve">You are recognising these attacks reliably. You receive more advanced material.</w:t>
            </w:r>
          </w:p>
        </w:tc>
      </w:tr>
      <w:tr>
        <w:trPr>
          <w:tblHeader w:val="false"/>
        </w:trPr>
        <w:tc>
          <w:tcPr>
            <w:tcW w:type="dxa" w:w="22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Medium</w:t>
            </w:r>
          </w:p>
        </w:tc>
        <w:tc>
          <w:tcPr>
            <w:tcW w:type="dxa" w:w="19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33 to 65</w:t>
            </w:r>
          </w:p>
        </w:tc>
        <w:tc>
          <w:tcPr>
            <w:tcW w:type="dxa" w:w="51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You are recognising most attacks. You receive intermediate material.</w:t>
            </w:r>
          </w:p>
        </w:tc>
      </w:tr>
      <w:tr>
        <w:trPr>
          <w:tblHeader w:val="false"/>
        </w:trPr>
        <w:tc>
          <w:tcPr>
            <w:tcW w:type="dxa" w:w="2200"/>
            <w:tcMar>
              <w:top w:type="dxa" w:w="75"/>
              <w:left w:type="dxa" w:w="95"/>
              <w:bottom w:type="dxa" w:w="75"/>
              <w:right w:type="dxa" w:w="95"/>
            </w:tcMar>
          </w:tcPr>
          <w:p>
            <w:pPr>
              <w:spacing w:after="0" w:line="248"/>
            </w:pPr>
            <w:r>
              <w:rPr>
                <w:rFonts w:ascii="Calibri" w:cs="Calibri" w:eastAsia="Calibri" w:hAnsi="Calibri"/>
                <w:color w:val="B03A2E"/>
                <w:sz w:val="18"/>
                <w:szCs w:val="18"/>
              </w:rPr>
              <w:t xml:space="preserve">High</w:t>
            </w:r>
          </w:p>
        </w:tc>
        <w:tc>
          <w:tcPr>
            <w:tcW w:type="dxa" w:w="1900"/>
            <w:tcMar>
              <w:top w:type="dxa" w:w="75"/>
              <w:left w:type="dxa" w:w="95"/>
              <w:bottom w:type="dxa" w:w="75"/>
              <w:right w:type="dxa" w:w="95"/>
            </w:tcMar>
          </w:tcPr>
          <w:p>
            <w:pPr>
              <w:spacing w:after="0" w:line="248"/>
            </w:pPr>
            <w:r>
              <w:rPr>
                <w:rFonts w:ascii="Calibri" w:cs="Calibri" w:eastAsia="Calibri" w:hAnsi="Calibri"/>
                <w:sz w:val="18"/>
                <w:szCs w:val="18"/>
              </w:rPr>
              <w:t xml:space="preserve">66 and above</w:t>
            </w:r>
          </w:p>
        </w:tc>
        <w:tc>
          <w:tcPr>
            <w:tcW w:type="dxa" w:w="5100"/>
            <w:tcMar>
              <w:top w:type="dxa" w:w="75"/>
              <w:left w:type="dxa" w:w="95"/>
              <w:bottom w:type="dxa" w:w="75"/>
              <w:right w:type="dxa" w:w="95"/>
            </w:tcMar>
          </w:tcPr>
          <w:p>
            <w:pPr>
              <w:spacing w:after="0" w:line="248"/>
            </w:pPr>
            <w:r>
              <w:rPr>
                <w:rFonts w:ascii="Calibri" w:cs="Calibri" w:eastAsia="Calibri" w:hAnsi="Calibri"/>
                <w:sz w:val="18"/>
                <w:szCs w:val="18"/>
              </w:rPr>
              <w:t xml:space="preserve">Some attack types are still catching you out. You receive foundational material to rebuild the basics.</w:t>
            </w:r>
          </w:p>
        </w:tc>
      </w:tr>
    </w:tbl>
    <w:p>
      <w:pPr>
        <w:spacing w:after="190" w:before="70"/>
      </w:pPr>
      <w:r>
        <w:rPr>
          <w:rFonts w:ascii="Calibri" w:cs="Calibri" w:eastAsia="Calibri" w:hAnsi="Calibri"/>
          <w:i/>
          <w:iCs/>
          <w:color w:val="555555"/>
          <w:sz w:val="18"/>
          <w:szCs w:val="18"/>
        </w:rPr>
        <w:t xml:space="preserve">Table 4: Risk bands and the training you receive.</w:t>
      </w:r>
    </w:p>
    <w:p>
      <w:pPr>
        <w:shd w:fill="EAF2EC" w:val="clear"/>
        <w:spacing w:after="170" w:before="90" w:line="270"/>
        <w:ind w:left="215" w:right="215"/>
      </w:pPr>
      <w:r>
        <w:rPr>
          <w:rFonts w:ascii="Calibri" w:cs="Calibri" w:eastAsia="Calibri" w:hAnsi="Calibri"/>
          <w:color w:val="2D6A4F"/>
          <w:sz w:val="20"/>
          <w:szCs w:val="20"/>
        </w:rPr>
        <w:t xml:space="preserve">A high risk score is not a mark against you. It simply means the system will teach you the foundations again rather than moving on to advanced material. The score exists to choose your training, not to judge you.</w:t>
      </w:r>
    </w:p>
    <w:p>
      <w:pPr>
        <w:pStyle w:val="Heading2"/>
        <w:spacing w:after="110" w:before="260"/>
      </w:pPr>
      <w:r>
        <w:rPr>
          <w:rFonts w:ascii="Calibri" w:cs="Calibri" w:eastAsia="Calibri" w:hAnsi="Calibri"/>
          <w:b/>
          <w:bCs/>
          <w:color w:val="1F4E5F"/>
          <w:sz w:val="23"/>
          <w:szCs w:val="23"/>
        </w:rPr>
        <w:t xml:space="preserve">5.3 Why easier lessons for a higher score</w:t>
      </w:r>
    </w:p>
    <w:p>
      <w:pPr>
        <w:spacing w:after="125" w:line="278"/>
        <w:jc w:val="both"/>
      </w:pPr>
      <w:r>
        <w:rPr>
          <w:rFonts w:ascii="Calibri" w:cs="Calibri" w:eastAsia="Calibri" w:hAnsi="Calibri"/>
          <w:sz w:val="21"/>
          <w:szCs w:val="21"/>
        </w:rPr>
        <w:t xml:space="preserve">This surprises some users. If you are finding these attacks difficult, giving you harder material makes the problem worse. Reinforcing the fundamentals until they are secure is more effective, and the score returns to a lower band as your answers improve.</w:t>
      </w:r>
    </w:p>
    <w:p>
      <w:pPr>
        <w:pStyle w:val="Heading2"/>
        <w:spacing w:after="110" w:before="260"/>
      </w:pPr>
      <w:r>
        <w:rPr>
          <w:rFonts w:ascii="Calibri" w:cs="Calibri" w:eastAsia="Calibri" w:hAnsi="Calibri"/>
          <w:b/>
          <w:bCs/>
          <w:color w:val="1F4E5F"/>
          <w:sz w:val="23"/>
          <w:szCs w:val="23"/>
        </w:rPr>
        <w:t xml:space="preserve">5.4 Checking your progress</w:t>
      </w:r>
    </w:p>
    <w:p>
      <w:pPr>
        <w:spacing w:after="125" w:line="278"/>
        <w:jc w:val="both"/>
      </w:pPr>
      <w:r>
        <w:rPr>
          <w:rFonts w:ascii="Calibri" w:cs="Calibri" w:eastAsia="Calibri" w:hAnsi="Calibri"/>
          <w:sz w:val="21"/>
          <w:szCs w:val="21"/>
        </w:rPr>
        <w:t xml:space="preserve">Your progress view shows your current risk score and band, which lessons you have completed, your history of attempts with dates, and which lesson is recommended next. Every attempt is kept, so you can see improvement over time rather than only your latest result.</w:t>
      </w:r>
    </w:p>
    <w:p>
      <w:r>
        <w:br w:type="page"/>
      </w:r>
    </w:p>
    <w:p>
      <w:pPr>
        <w:pStyle w:val="Heading1"/>
        <w:spacing w:after="150" w:before="340"/>
      </w:pPr>
      <w:r>
        <w:rPr>
          <w:rFonts w:ascii="Calibri" w:cs="Calibri" w:eastAsia="Calibri" w:hAnsi="Calibri"/>
          <w:b/>
          <w:bCs/>
          <w:color w:val="1F4E5F"/>
          <w:sz w:val="28"/>
          <w:szCs w:val="28"/>
        </w:rPr>
        <w:t xml:space="preserve">6. Everyday Good Practice</w:t>
      </w:r>
    </w:p>
    <w:p>
      <w:pPr>
        <w:spacing w:after="125" w:line="278"/>
        <w:jc w:val="both"/>
      </w:pPr>
      <w:r>
        <w:rPr>
          <w:rFonts w:ascii="Calibri" w:cs="Calibri" w:eastAsia="Calibri" w:hAnsi="Calibri"/>
          <w:sz w:val="21"/>
          <w:szCs w:val="21"/>
        </w:rPr>
        <w:t xml:space="preserve">SEDAS supports your judgement rather than replacing it. The habits below matter regardless of what any tool reports.</w:t>
      </w:r>
    </w:p>
    <w:p>
      <w:pPr>
        <w:pStyle w:val="ListParagraph"/>
        <w:numPr>
          <w:ilvl w:val="0"/>
          <w:numId w:val="2"/>
        </w:numPr>
        <w:spacing w:after="75" w:line="268"/>
      </w:pPr>
      <w:r>
        <w:rPr>
          <w:rFonts w:ascii="Calibri" w:cs="Calibri" w:eastAsia="Calibri" w:hAnsi="Calibri"/>
          <w:b/>
          <w:bCs/>
          <w:sz w:val="21"/>
          <w:szCs w:val="21"/>
        </w:rPr>
        <w:t xml:space="preserve">Slow down when a message is urgent.</w:t>
      </w:r>
      <w:r>
        <w:rPr>
          <w:rFonts w:ascii="Calibri" w:cs="Calibri" w:eastAsia="Calibri" w:hAnsi="Calibri"/>
          <w:sz w:val="21"/>
          <w:szCs w:val="21"/>
        </w:rPr>
        <w:t xml:space="preserve"> Urgency is the most reliable warning sign of all. Genuine organisations do not demand that you act within hours or lose access.</w:t>
      </w:r>
    </w:p>
    <w:p>
      <w:pPr>
        <w:pStyle w:val="ListParagraph"/>
        <w:numPr>
          <w:ilvl w:val="0"/>
          <w:numId w:val="2"/>
        </w:numPr>
        <w:spacing w:after="75" w:line="268"/>
      </w:pPr>
      <w:r>
        <w:rPr>
          <w:rFonts w:ascii="Calibri" w:cs="Calibri" w:eastAsia="Calibri" w:hAnsi="Calibri"/>
          <w:b/>
          <w:bCs/>
          <w:sz w:val="21"/>
          <w:szCs w:val="21"/>
        </w:rPr>
        <w:t xml:space="preserve">Verify through a channel you find yourself.</w:t>
      </w:r>
      <w:r>
        <w:rPr>
          <w:rFonts w:ascii="Calibri" w:cs="Calibri" w:eastAsia="Calibri" w:hAnsi="Calibri"/>
          <w:sz w:val="21"/>
          <w:szCs w:val="21"/>
        </w:rPr>
        <w:t xml:space="preserve"> If a message claims to be from your bank, university or IT department, contact them using a number or address you find yourself. Never use the contact details supplied in the suspicious message.</w:t>
      </w:r>
    </w:p>
    <w:p>
      <w:pPr>
        <w:pStyle w:val="ListParagraph"/>
        <w:numPr>
          <w:ilvl w:val="0"/>
          <w:numId w:val="2"/>
        </w:numPr>
        <w:spacing w:after="75" w:line="268"/>
      </w:pPr>
      <w:r>
        <w:rPr>
          <w:rFonts w:ascii="Calibri" w:cs="Calibri" w:eastAsia="Calibri" w:hAnsi="Calibri"/>
          <w:b/>
          <w:bCs/>
          <w:sz w:val="21"/>
          <w:szCs w:val="21"/>
        </w:rPr>
        <w:t xml:space="preserve">Never share your password.</w:t>
      </w:r>
      <w:r>
        <w:rPr>
          <w:rFonts w:ascii="Calibri" w:cs="Calibri" w:eastAsia="Calibri" w:hAnsi="Calibri"/>
          <w:sz w:val="21"/>
          <w:szCs w:val="21"/>
        </w:rPr>
        <w:t xml:space="preserve"> No legitimate IT department will ever ask for your password by email, chat or phone.</w:t>
      </w:r>
    </w:p>
    <w:p>
      <w:pPr>
        <w:pStyle w:val="ListParagraph"/>
        <w:numPr>
          <w:ilvl w:val="0"/>
          <w:numId w:val="2"/>
        </w:numPr>
        <w:spacing w:after="75" w:line="268"/>
      </w:pPr>
      <w:r>
        <w:rPr>
          <w:rFonts w:ascii="Calibri" w:cs="Calibri" w:eastAsia="Calibri" w:hAnsi="Calibri"/>
          <w:b/>
          <w:bCs/>
          <w:sz w:val="21"/>
          <w:szCs w:val="21"/>
        </w:rPr>
        <w:t xml:space="preserve">Treat unexpected approval prompts as an attack.</w:t>
      </w:r>
      <w:r>
        <w:rPr>
          <w:rFonts w:ascii="Calibri" w:cs="Calibri" w:eastAsia="Calibri" w:hAnsi="Calibri"/>
          <w:sz w:val="21"/>
          <w:szCs w:val="21"/>
        </w:rPr>
        <w:t xml:space="preserve"> If you receive repeated login approval requests you did not trigger, someone already has your password. Deny them and report it immediately.</w:t>
      </w:r>
    </w:p>
    <w:p>
      <w:pPr>
        <w:pStyle w:val="ListParagraph"/>
        <w:numPr>
          <w:ilvl w:val="0"/>
          <w:numId w:val="2"/>
        </w:numPr>
        <w:spacing w:after="75" w:line="268"/>
      </w:pPr>
      <w:r>
        <w:rPr>
          <w:rFonts w:ascii="Calibri" w:cs="Calibri" w:eastAsia="Calibri" w:hAnsi="Calibri"/>
          <w:b/>
          <w:bCs/>
          <w:sz w:val="21"/>
          <w:szCs w:val="21"/>
        </w:rPr>
        <w:t xml:space="preserve">Report promptly, even after clicking.</w:t>
      </w:r>
      <w:r>
        <w:rPr>
          <w:rFonts w:ascii="Calibri" w:cs="Calibri" w:eastAsia="Calibri" w:hAnsi="Calibri"/>
          <w:sz w:val="21"/>
          <w:szCs w:val="21"/>
        </w:rPr>
        <w:t xml:space="preserve"> Reporting quickly limits the damage far more than avoiding embarrassment does. Clicking a bad link is common and is not a disciplinary matter.</w:t>
      </w:r>
    </w:p>
    <w:p>
      <w:pPr>
        <w:shd w:fill="FBEAE8" w:val="clear"/>
        <w:spacing w:after="170" w:before="90" w:line="270"/>
        <w:ind w:left="215" w:right="215"/>
      </w:pPr>
      <w:r>
        <w:rPr>
          <w:rFonts w:ascii="Calibri" w:cs="Calibri" w:eastAsia="Calibri" w:hAnsi="Calibri"/>
          <w:color w:val="B03A2E"/>
          <w:sz w:val="20"/>
          <w:szCs w:val="20"/>
        </w:rPr>
        <w:t xml:space="preserve">If you have clicked a suspicious link or entered your details somewhere you now doubt, report it immediately. Speed matters more than certainty, and far more than avoiding embarrassment.</w:t>
      </w:r>
    </w:p>
    <w:p>
      <w:pPr>
        <w:pStyle w:val="Heading1"/>
        <w:spacing w:after="150" w:before="340"/>
      </w:pPr>
      <w:r>
        <w:rPr>
          <w:rFonts w:ascii="Calibri" w:cs="Calibri" w:eastAsia="Calibri" w:hAnsi="Calibri"/>
          <w:b/>
          <w:bCs/>
          <w:color w:val="1F4E5F"/>
          <w:sz w:val="28"/>
          <w:szCs w:val="28"/>
        </w:rPr>
        <w:t xml:space="preserve">7.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Problem</w:t>
            </w:r>
          </w:p>
        </w:tc>
        <w:tc>
          <w:tcPr>
            <w:tcW w:type="dxa" w:w="56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What to do</w:t>
            </w:r>
          </w:p>
        </w:tc>
      </w:tr>
      <w:tr>
        <w:trPr>
          <w:tblHeader w:val="false"/>
        </w:trPr>
        <w:tc>
          <w:tcPr>
            <w:tcW w:type="dxa" w:w="3400"/>
            <w:tcMar>
              <w:top w:type="dxa" w:w="75"/>
              <w:left w:type="dxa" w:w="95"/>
              <w:bottom w:type="dxa" w:w="75"/>
              <w:right w:type="dxa" w:w="95"/>
            </w:tcMar>
          </w:tcPr>
          <w:p>
            <w:pPr>
              <w:spacing w:after="0" w:line="248"/>
            </w:pPr>
            <w:r>
              <w:rPr>
                <w:rFonts w:ascii="Calibri" w:cs="Calibri" w:eastAsia="Calibri" w:hAnsi="Calibri"/>
                <w:sz w:val="18"/>
                <w:szCs w:val="18"/>
              </w:rPr>
              <w:t xml:space="preserve">'Could not reach the service'</w:t>
            </w:r>
          </w:p>
        </w:tc>
        <w:tc>
          <w:tcPr>
            <w:tcW w:type="dxa" w:w="5600"/>
            <w:tcMar>
              <w:top w:type="dxa" w:w="75"/>
              <w:left w:type="dxa" w:w="95"/>
              <w:bottom w:type="dxa" w:w="75"/>
              <w:right w:type="dxa" w:w="95"/>
            </w:tcMar>
          </w:tcPr>
          <w:p>
            <w:pPr>
              <w:spacing w:after="0" w:line="248"/>
            </w:pPr>
            <w:r>
              <w:rPr>
                <w:rFonts w:ascii="Calibri" w:cs="Calibri" w:eastAsia="Calibri" w:hAnsi="Calibri"/>
                <w:sz w:val="18"/>
                <w:szCs w:val="18"/>
              </w:rPr>
              <w:t xml:space="preserve">The system has not been started, or has stopped. Contact whoever set it up.</w:t>
            </w:r>
          </w:p>
        </w:tc>
      </w:tr>
      <w:tr>
        <w:trPr>
          <w:tblHeader w:val="false"/>
        </w:trPr>
        <w:tc>
          <w:tcPr>
            <w:tcW w:type="dxa" w:w="34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Nothing happens when clicking a button</w:t>
            </w:r>
          </w:p>
        </w:tc>
        <w:tc>
          <w:tcPr>
            <w:tcW w:type="dxa" w:w="56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Check that text has been entered in the box. An empty box produces no result.</w:t>
            </w:r>
          </w:p>
        </w:tc>
      </w:tr>
      <w:tr>
        <w:trPr>
          <w:tblHeader w:val="false"/>
        </w:trPr>
        <w:tc>
          <w:tcPr>
            <w:tcW w:type="dxa" w:w="3400"/>
            <w:tcMar>
              <w:top w:type="dxa" w:w="75"/>
              <w:left w:type="dxa" w:w="95"/>
              <w:bottom w:type="dxa" w:w="75"/>
              <w:right w:type="dxa" w:w="95"/>
            </w:tcMar>
          </w:tcPr>
          <w:p>
            <w:pPr>
              <w:spacing w:after="0" w:line="248"/>
            </w:pPr>
            <w:r>
              <w:rPr>
                <w:rFonts w:ascii="Calibri" w:cs="Calibri" w:eastAsia="Calibri" w:hAnsi="Calibri"/>
                <w:sz w:val="18"/>
                <w:szCs w:val="18"/>
              </w:rPr>
              <w:t xml:space="preserve">The result seems wrong</w:t>
            </w:r>
          </w:p>
        </w:tc>
        <w:tc>
          <w:tcPr>
            <w:tcW w:type="dxa" w:w="5600"/>
            <w:tcMar>
              <w:top w:type="dxa" w:w="75"/>
              <w:left w:type="dxa" w:w="95"/>
              <w:bottom w:type="dxa" w:w="75"/>
              <w:right w:type="dxa" w:w="95"/>
            </w:tcMar>
          </w:tcPr>
          <w:p>
            <w:pPr>
              <w:spacing w:after="0" w:line="248"/>
            </w:pPr>
            <w:r>
              <w:rPr>
                <w:rFonts w:ascii="Calibri" w:cs="Calibri" w:eastAsia="Calibri" w:hAnsi="Calibri"/>
                <w:sz w:val="18"/>
                <w:szCs w:val="18"/>
              </w:rPr>
              <w:t xml:space="preserve">SEDAS is highly accurate but not perfect. Look at the highlighted words to understand its reasoning. If you disagree, trust your own judgement and report the message.</w:t>
            </w:r>
          </w:p>
        </w:tc>
      </w:tr>
      <w:tr>
        <w:trPr>
          <w:tblHeader w:val="false"/>
        </w:trPr>
        <w:tc>
          <w:tcPr>
            <w:tcW w:type="dxa" w:w="34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Unsure whether a verdict is safe enough</w:t>
            </w:r>
          </w:p>
        </w:tc>
        <w:tc>
          <w:tcPr>
            <w:tcW w:type="dxa" w:w="56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Treat any uncertain result as suspicious. Verify with the apparent sender through a channel you look up yourself.</w:t>
            </w:r>
          </w:p>
        </w:tc>
      </w:tr>
      <w:tr>
        <w:trPr>
          <w:tblHeader w:val="false"/>
        </w:trPr>
        <w:tc>
          <w:tcPr>
            <w:tcW w:type="dxa" w:w="3400"/>
            <w:tcMar>
              <w:top w:type="dxa" w:w="75"/>
              <w:left w:type="dxa" w:w="95"/>
              <w:bottom w:type="dxa" w:w="75"/>
              <w:right w:type="dxa" w:w="95"/>
            </w:tcMar>
          </w:tcPr>
          <w:p>
            <w:pPr>
              <w:spacing w:after="0" w:line="248"/>
            </w:pPr>
            <w:r>
              <w:rPr>
                <w:rFonts w:ascii="Calibri" w:cs="Calibri" w:eastAsia="Calibri" w:hAnsi="Calibri"/>
                <w:sz w:val="18"/>
                <w:szCs w:val="18"/>
              </w:rPr>
              <w:t xml:space="preserve">Cannot copy a link on a phone</w:t>
            </w:r>
          </w:p>
        </w:tc>
        <w:tc>
          <w:tcPr>
            <w:tcW w:type="dxa" w:w="5600"/>
            <w:tcMar>
              <w:top w:type="dxa" w:w="75"/>
              <w:left w:type="dxa" w:w="95"/>
              <w:bottom w:type="dxa" w:w="75"/>
              <w:right w:type="dxa" w:w="95"/>
            </w:tcMar>
          </w:tcPr>
          <w:p>
            <w:pPr>
              <w:spacing w:after="0" w:line="248"/>
            </w:pPr>
            <w:r>
              <w:rPr>
                <w:rFonts w:ascii="Calibri" w:cs="Calibri" w:eastAsia="Calibri" w:hAnsi="Calibri"/>
                <w:sz w:val="18"/>
                <w:szCs w:val="18"/>
              </w:rPr>
              <w:t xml:space="preserve">Press and hold the link rather than tapping it, then choose the copy option from the menu.</w:t>
            </w:r>
          </w:p>
        </w:tc>
      </w:tr>
    </w:tbl>
    <w:p>
      <w:pPr>
        <w:spacing w:after="190" w:before="70"/>
      </w:pPr>
      <w:r>
        <w:rPr>
          <w:rFonts w:ascii="Calibri" w:cs="Calibri" w:eastAsia="Calibri" w:hAnsi="Calibri"/>
          <w:i/>
          <w:iCs/>
          <w:color w:val="555555"/>
          <w:sz w:val="18"/>
          <w:szCs w:val="18"/>
        </w:rPr>
        <w:t xml:space="preserve">Table 5: Common problems and their resolution.</w:t>
      </w:r>
    </w:p>
    <w:p>
      <w:pPr>
        <w:pStyle w:val="Heading1"/>
        <w:spacing w:after="150" w:before="340"/>
      </w:pPr>
      <w:r>
        <w:rPr>
          <w:rFonts w:ascii="Calibri" w:cs="Calibri" w:eastAsia="Calibri" w:hAnsi="Calibri"/>
          <w:b/>
          <w:bCs/>
          <w:color w:val="1F4E5F"/>
          <w:sz w:val="28"/>
          <w:szCs w:val="28"/>
        </w:rPr>
        <w:t xml:space="preserve">8. Privacy and Your Data</w:t>
      </w:r>
    </w:p>
    <w:p>
      <w:pPr>
        <w:pStyle w:val="ListParagraph"/>
        <w:numPr>
          <w:ilvl w:val="0"/>
          <w:numId w:val="2"/>
        </w:numPr>
        <w:spacing w:after="75" w:line="268"/>
      </w:pPr>
      <w:r>
        <w:rPr>
          <w:rFonts w:ascii="Calibri" w:cs="Calibri" w:eastAsia="Calibri" w:hAnsi="Calibri"/>
          <w:b/>
          <w:bCs/>
          <w:sz w:val="21"/>
          <w:szCs w:val="21"/>
        </w:rPr>
        <w:t xml:space="preserve">Email text —</w:t>
      </w:r>
      <w:r>
        <w:rPr>
          <w:rFonts w:ascii="Calibri" w:cs="Calibri" w:eastAsia="Calibri" w:hAnsi="Calibri"/>
          <w:sz w:val="21"/>
          <w:szCs w:val="21"/>
        </w:rPr>
        <w:t xml:space="preserve"> Text you paste into SEDAS is analysed to produce a result. In this version the text is not retained after the check is complete.</w:t>
      </w:r>
    </w:p>
    <w:p>
      <w:pPr>
        <w:pStyle w:val="ListParagraph"/>
        <w:numPr>
          <w:ilvl w:val="0"/>
          <w:numId w:val="2"/>
        </w:numPr>
        <w:spacing w:after="75" w:line="268"/>
      </w:pPr>
      <w:r>
        <w:rPr>
          <w:rFonts w:ascii="Calibri" w:cs="Calibri" w:eastAsia="Calibri" w:hAnsi="Calibri"/>
          <w:b/>
          <w:bCs/>
          <w:sz w:val="21"/>
          <w:szCs w:val="21"/>
        </w:rPr>
        <w:t xml:space="preserve">Reported links —</w:t>
      </w:r>
      <w:r>
        <w:rPr>
          <w:rFonts w:ascii="Calibri" w:cs="Calibri" w:eastAsia="Calibri" w:hAnsi="Calibri"/>
          <w:sz w:val="21"/>
          <w:szCs w:val="21"/>
        </w:rPr>
        <w:t xml:space="preserve"> Links reported as dangerous are recorded in the registry so that others are warned. The record includes the link and who reported it.</w:t>
      </w:r>
    </w:p>
    <w:p>
      <w:pPr>
        <w:pStyle w:val="ListParagraph"/>
        <w:numPr>
          <w:ilvl w:val="0"/>
          <w:numId w:val="2"/>
        </w:numPr>
        <w:spacing w:after="75" w:line="268"/>
      </w:pPr>
      <w:r>
        <w:rPr>
          <w:rFonts w:ascii="Calibri" w:cs="Calibri" w:eastAsia="Calibri" w:hAnsi="Calibri"/>
          <w:b/>
          <w:bCs/>
          <w:sz w:val="21"/>
          <w:szCs w:val="21"/>
        </w:rPr>
        <w:t xml:space="preserve">Training records —</w:t>
      </w:r>
      <w:r>
        <w:rPr>
          <w:rFonts w:ascii="Calibri" w:cs="Calibri" w:eastAsia="Calibri" w:hAnsi="Calibri"/>
          <w:sz w:val="21"/>
          <w:szCs w:val="21"/>
        </w:rPr>
        <w:t xml:space="preserve"> Your quiz attempts and risk score are stored so that training can adapt and progress can be shown.</w:t>
      </w:r>
    </w:p>
    <w:p>
      <w:pPr>
        <w:pStyle w:val="ListParagraph"/>
        <w:numPr>
          <w:ilvl w:val="0"/>
          <w:numId w:val="2"/>
        </w:numPr>
        <w:spacing w:after="75" w:line="268"/>
      </w:pPr>
      <w:r>
        <w:rPr>
          <w:rFonts w:ascii="Calibri" w:cs="Calibri" w:eastAsia="Calibri" w:hAnsi="Calibri"/>
          <w:b/>
          <w:bCs/>
          <w:sz w:val="21"/>
          <w:szCs w:val="21"/>
        </w:rPr>
        <w:t xml:space="preserve">Development data —</w:t>
      </w:r>
      <w:r>
        <w:rPr>
          <w:rFonts w:ascii="Calibri" w:cs="Calibri" w:eastAsia="Calibri" w:hAnsi="Calibri"/>
          <w:sz w:val="21"/>
          <w:szCs w:val="21"/>
        </w:rPr>
        <w:t xml:space="preserve"> This version of SEDAS was developed and evaluated using publicly available research datasets and fictitious test accounts. No real personal information was used in its development.</w:t>
      </w:r>
    </w:p>
    <w:p>
      <w:pPr>
        <w:spacing w:after="125" w:line="278"/>
        <w:jc w:val="both"/>
      </w:pPr>
      <w:r>
        <w:rPr>
          <w:rFonts w:ascii="Calibri" w:cs="Calibri" w:eastAsia="Calibri" w:hAnsi="Calibri"/>
          <w:sz w:val="21"/>
          <w:szCs w:val="21"/>
        </w:rPr>
        <w:t xml:space="preserve">Any production deployment would additionally require appropriate retention periods, access controls and privacy notices in line with the Australian Privacy Principles.</w:t>
      </w:r>
    </w:p>
    <w:p>
      <w:pPr>
        <w:pStyle w:val="Heading1"/>
        <w:spacing w:after="150" w:before="340"/>
      </w:pPr>
      <w:r>
        <w:rPr>
          <w:rFonts w:ascii="Calibri" w:cs="Calibri" w:eastAsia="Calibri" w:hAnsi="Calibri"/>
          <w:b/>
          <w:bCs/>
          <w:color w:val="1F4E5F"/>
          <w:sz w:val="28"/>
          <w:szCs w:val="28"/>
        </w:rPr>
        <w:t xml:space="preserve">9.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Term</w:t>
            </w:r>
          </w:p>
        </w:tc>
        <w:tc>
          <w:tcPr>
            <w:tcW w:type="dxa" w:w="6400"/>
            <w:shd w:fill="1F4E5F" w:val="clear"/>
            <w:tcMar>
              <w:top w:type="dxa" w:w="75"/>
              <w:left w:type="dxa" w:w="95"/>
              <w:bottom w:type="dxa" w:w="75"/>
              <w:right w:type="dxa" w:w="95"/>
            </w:tcMar>
          </w:tcPr>
          <w:p>
            <w:pPr>
              <w:spacing w:after="0" w:line="248"/>
            </w:pPr>
            <w:r>
              <w:rPr>
                <w:rFonts w:ascii="Calibri" w:cs="Calibri" w:eastAsia="Calibri" w:hAnsi="Calibri"/>
                <w:b/>
                <w:bCs/>
                <w:color w:val="FFFFFF"/>
                <w:sz w:val="18"/>
                <w:szCs w:val="18"/>
              </w:rPr>
              <w:t xml:space="preserve">Meaning</w:t>
            </w:r>
          </w:p>
        </w:tc>
      </w:tr>
      <w:tr>
        <w:trPr>
          <w:tblHeader w:val="false"/>
        </w:trPr>
        <w:tc>
          <w:tcPr>
            <w:tcW w:type="dxa" w:w="2600"/>
            <w:tcMar>
              <w:top w:type="dxa" w:w="75"/>
              <w:left w:type="dxa" w:w="95"/>
              <w:bottom w:type="dxa" w:w="75"/>
              <w:right w:type="dxa" w:w="95"/>
            </w:tcMar>
          </w:tcPr>
          <w:p>
            <w:pPr>
              <w:spacing w:after="0" w:line="248"/>
            </w:pPr>
            <w:r>
              <w:rPr>
                <w:rFonts w:ascii="Calibri" w:cs="Calibri" w:eastAsia="Calibri" w:hAnsi="Calibri"/>
                <w:sz w:val="18"/>
                <w:szCs w:val="18"/>
              </w:rPr>
              <w:t xml:space="preserve">Phishing</w:t>
            </w:r>
          </w:p>
        </w:tc>
        <w:tc>
          <w:tcPr>
            <w:tcW w:type="dxa" w:w="6400"/>
            <w:tcMar>
              <w:top w:type="dxa" w:w="75"/>
              <w:left w:type="dxa" w:w="95"/>
              <w:bottom w:type="dxa" w:w="75"/>
              <w:right w:type="dxa" w:w="95"/>
            </w:tcMar>
          </w:tcPr>
          <w:p>
            <w:pPr>
              <w:spacing w:after="0" w:line="248"/>
            </w:pPr>
            <w:r>
              <w:rPr>
                <w:rFonts w:ascii="Calibri" w:cs="Calibri" w:eastAsia="Calibri" w:hAnsi="Calibri"/>
                <w:sz w:val="18"/>
                <w:szCs w:val="18"/>
              </w:rPr>
              <w:t xml:space="preserve">A fraudulent message pretending to be from a trusted organisation, designed to make you reveal information or click something harmful.</w:t>
            </w:r>
          </w:p>
        </w:tc>
      </w:tr>
      <w:tr>
        <w:trPr>
          <w:tblHeader w:val="false"/>
        </w:trPr>
        <w:tc>
          <w:tcPr>
            <w:tcW w:type="dxa" w:w="26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Social engineering</w:t>
            </w:r>
          </w:p>
        </w:tc>
        <w:tc>
          <w:tcPr>
            <w:tcW w:type="dxa" w:w="64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Manipulating a person into taking an unsafe action, rather than attacking technology directly.</w:t>
            </w:r>
          </w:p>
        </w:tc>
      </w:tr>
      <w:tr>
        <w:trPr>
          <w:tblHeader w:val="false"/>
        </w:trPr>
        <w:tc>
          <w:tcPr>
            <w:tcW w:type="dxa" w:w="2600"/>
            <w:tcMar>
              <w:top w:type="dxa" w:w="75"/>
              <w:left w:type="dxa" w:w="95"/>
              <w:bottom w:type="dxa" w:w="75"/>
              <w:right w:type="dxa" w:w="95"/>
            </w:tcMar>
          </w:tcPr>
          <w:p>
            <w:pPr>
              <w:spacing w:after="0" w:line="248"/>
            </w:pPr>
            <w:r>
              <w:rPr>
                <w:rFonts w:ascii="Calibri" w:cs="Calibri" w:eastAsia="Calibri" w:hAnsi="Calibri"/>
                <w:sz w:val="18"/>
                <w:szCs w:val="18"/>
              </w:rPr>
              <w:t xml:space="preserve">Risk score</w:t>
            </w:r>
          </w:p>
        </w:tc>
        <w:tc>
          <w:tcPr>
            <w:tcW w:type="dxa" w:w="6400"/>
            <w:tcMar>
              <w:top w:type="dxa" w:w="75"/>
              <w:left w:type="dxa" w:w="95"/>
              <w:bottom w:type="dxa" w:w="75"/>
              <w:right w:type="dxa" w:w="95"/>
            </w:tcMar>
          </w:tcPr>
          <w:p>
            <w:pPr>
              <w:spacing w:after="0" w:line="248"/>
            </w:pPr>
            <w:r>
              <w:rPr>
                <w:rFonts w:ascii="Calibri" w:cs="Calibri" w:eastAsia="Calibri" w:hAnsi="Calibri"/>
                <w:sz w:val="18"/>
                <w:szCs w:val="18"/>
              </w:rPr>
              <w:t xml:space="preserve">A number from 0 to 100 indicating how likely something is to be dangerous, or how much support a user currently needs.</w:t>
            </w:r>
          </w:p>
        </w:tc>
      </w:tr>
      <w:tr>
        <w:trPr>
          <w:tblHeader w:val="false"/>
        </w:trPr>
        <w:tc>
          <w:tcPr>
            <w:tcW w:type="dxa" w:w="26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False positive</w:t>
            </w:r>
          </w:p>
        </w:tc>
        <w:tc>
          <w:tcPr>
            <w:tcW w:type="dxa" w:w="64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A safe message wrongly flagged as dangerous.</w:t>
            </w:r>
          </w:p>
        </w:tc>
      </w:tr>
      <w:tr>
        <w:trPr>
          <w:tblHeader w:val="false"/>
        </w:trPr>
        <w:tc>
          <w:tcPr>
            <w:tcW w:type="dxa" w:w="2600"/>
            <w:tcMar>
              <w:top w:type="dxa" w:w="75"/>
              <w:left w:type="dxa" w:w="95"/>
              <w:bottom w:type="dxa" w:w="75"/>
              <w:right w:type="dxa" w:w="95"/>
            </w:tcMar>
          </w:tcPr>
          <w:p>
            <w:pPr>
              <w:spacing w:after="0" w:line="248"/>
            </w:pPr>
            <w:r>
              <w:rPr>
                <w:rFonts w:ascii="Calibri" w:cs="Calibri" w:eastAsia="Calibri" w:hAnsi="Calibri"/>
                <w:sz w:val="18"/>
                <w:szCs w:val="18"/>
              </w:rPr>
              <w:t xml:space="preserve">False negative</w:t>
            </w:r>
          </w:p>
        </w:tc>
        <w:tc>
          <w:tcPr>
            <w:tcW w:type="dxa" w:w="6400"/>
            <w:tcMar>
              <w:top w:type="dxa" w:w="75"/>
              <w:left w:type="dxa" w:w="95"/>
              <w:bottom w:type="dxa" w:w="75"/>
              <w:right w:type="dxa" w:w="95"/>
            </w:tcMar>
          </w:tcPr>
          <w:p>
            <w:pPr>
              <w:spacing w:after="0" w:line="248"/>
            </w:pPr>
            <w:r>
              <w:rPr>
                <w:rFonts w:ascii="Calibri" w:cs="Calibri" w:eastAsia="Calibri" w:hAnsi="Calibri"/>
                <w:sz w:val="18"/>
                <w:szCs w:val="18"/>
              </w:rPr>
              <w:t xml:space="preserve">A dangerous message wrongly passed as safe. This is the more serious of the two errors.</w:t>
            </w:r>
          </w:p>
        </w:tc>
      </w:tr>
      <w:tr>
        <w:trPr>
          <w:tblHeader w:val="false"/>
        </w:trPr>
        <w:tc>
          <w:tcPr>
            <w:tcW w:type="dxa" w:w="26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Registry</w:t>
            </w:r>
          </w:p>
        </w:tc>
        <w:tc>
          <w:tcPr>
            <w:tcW w:type="dxa" w:w="64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The record of links previously reported as dangerous or safe.</w:t>
            </w:r>
          </w:p>
        </w:tc>
      </w:tr>
      <w:tr>
        <w:trPr>
          <w:tblHeader w:val="false"/>
        </w:trPr>
        <w:tc>
          <w:tcPr>
            <w:tcW w:type="dxa" w:w="2600"/>
            <w:tcMar>
              <w:top w:type="dxa" w:w="75"/>
              <w:left w:type="dxa" w:w="95"/>
              <w:bottom w:type="dxa" w:w="75"/>
              <w:right w:type="dxa" w:w="95"/>
            </w:tcMar>
          </w:tcPr>
          <w:p>
            <w:pPr>
              <w:spacing w:after="0" w:line="248"/>
            </w:pPr>
            <w:r>
              <w:rPr>
                <w:rFonts w:ascii="Calibri" w:cs="Calibri" w:eastAsia="Calibri" w:hAnsi="Calibri"/>
                <w:sz w:val="18"/>
                <w:szCs w:val="18"/>
              </w:rPr>
              <w:t xml:space="preserve">Proof code</w:t>
            </w:r>
          </w:p>
        </w:tc>
        <w:tc>
          <w:tcPr>
            <w:tcW w:type="dxa" w:w="6400"/>
            <w:tcMar>
              <w:top w:type="dxa" w:w="75"/>
              <w:left w:type="dxa" w:w="95"/>
              <w:bottom w:type="dxa" w:w="75"/>
              <w:right w:type="dxa" w:w="95"/>
            </w:tcMar>
          </w:tcPr>
          <w:p>
            <w:pPr>
              <w:spacing w:after="0" w:line="248"/>
            </w:pPr>
            <w:r>
              <w:rPr>
                <w:rFonts w:ascii="Calibri" w:cs="Calibri" w:eastAsia="Calibri" w:hAnsi="Calibri"/>
                <w:sz w:val="18"/>
                <w:szCs w:val="18"/>
              </w:rPr>
              <w:t xml:space="preserve">A code sealing each registry record, allowing the system to detect if a past record has been altered.</w:t>
            </w:r>
          </w:p>
        </w:tc>
      </w:tr>
      <w:tr>
        <w:trPr>
          <w:tblHeader w:val="false"/>
        </w:trPr>
        <w:tc>
          <w:tcPr>
            <w:tcW w:type="dxa" w:w="26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Persona</w:t>
            </w:r>
          </w:p>
        </w:tc>
        <w:tc>
          <w:tcPr>
            <w:tcW w:type="dxa" w:w="6400"/>
            <w:shd w:fill="F4F8FA" w:val="clear"/>
            <w:tcMar>
              <w:top w:type="dxa" w:w="75"/>
              <w:left w:type="dxa" w:w="95"/>
              <w:bottom w:type="dxa" w:w="75"/>
              <w:right w:type="dxa" w:w="95"/>
            </w:tcMar>
          </w:tcPr>
          <w:p>
            <w:pPr>
              <w:spacing w:after="0" w:line="248"/>
            </w:pPr>
            <w:r>
              <w:rPr>
                <w:rFonts w:ascii="Calibri" w:cs="Calibri" w:eastAsia="Calibri" w:hAnsi="Calibri"/>
                <w:sz w:val="18"/>
                <w:szCs w:val="18"/>
              </w:rPr>
              <w:t xml:space="preserve">Your role in the organisation — student, staff or administrator — determining which lessons you receive.</w:t>
            </w:r>
          </w:p>
        </w:tc>
      </w:tr>
      <w:tr>
        <w:trPr>
          <w:tblHeader w:val="false"/>
        </w:trPr>
        <w:tc>
          <w:tcPr>
            <w:tcW w:type="dxa" w:w="2600"/>
            <w:tcMar>
              <w:top w:type="dxa" w:w="75"/>
              <w:left w:type="dxa" w:w="95"/>
              <w:bottom w:type="dxa" w:w="75"/>
              <w:right w:type="dxa" w:w="95"/>
            </w:tcMar>
          </w:tcPr>
          <w:p>
            <w:pPr>
              <w:spacing w:after="0" w:line="248"/>
            </w:pPr>
            <w:r>
              <w:rPr>
                <w:rFonts w:ascii="Calibri" w:cs="Calibri" w:eastAsia="Calibri" w:hAnsi="Calibri"/>
                <w:sz w:val="18"/>
                <w:szCs w:val="18"/>
              </w:rPr>
              <w:t xml:space="preserve">HTTPS</w:t>
            </w:r>
          </w:p>
        </w:tc>
        <w:tc>
          <w:tcPr>
            <w:tcW w:type="dxa" w:w="6400"/>
            <w:tcMar>
              <w:top w:type="dxa" w:w="75"/>
              <w:left w:type="dxa" w:w="95"/>
              <w:bottom w:type="dxa" w:w="75"/>
              <w:right w:type="dxa" w:w="95"/>
            </w:tcMar>
          </w:tcPr>
          <w:p>
            <w:pPr>
              <w:spacing w:after="0" w:line="248"/>
            </w:pPr>
            <w:r>
              <w:rPr>
                <w:rFonts w:ascii="Calibri" w:cs="Calibri" w:eastAsia="Calibri" w:hAnsi="Calibri"/>
                <w:sz w:val="18"/>
                <w:szCs w:val="18"/>
              </w:rPr>
              <w:t xml:space="preserve">An encrypted web connection. Its absence on a page asking for login details is a warning sign.</w:t>
            </w:r>
          </w:p>
        </w:tc>
      </w:tr>
    </w:tbl>
    <w:p>
      <w:pPr>
        <w:spacing w:after="190" w:before="70"/>
      </w:pPr>
      <w:r>
        <w:rPr>
          <w:rFonts w:ascii="Calibri" w:cs="Calibri" w:eastAsia="Calibri" w:hAnsi="Calibri"/>
          <w:i/>
          <w:iCs/>
          <w:color w:val="555555"/>
          <w:sz w:val="18"/>
          <w:szCs w:val="18"/>
        </w:rPr>
        <w:t xml:space="preserve">Table 6: Glossary of terms used in SEDAS.</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2026-08-07T02:34:14.776Z</dcterms:created>
  <dcterms:modified xsi:type="dcterms:W3CDTF">2026-08-07T02:34:14.790Z</dcterms:modified>
</cp:coreProperties>
</file>

<file path=docProps/custom.xml><?xml version="1.0" encoding="utf-8"?>
<Properties xmlns="http://schemas.openxmlformats.org/officeDocument/2006/custom-properties" xmlns:vt="http://schemas.openxmlformats.org/officeDocument/2006/docPropsVTypes"/>
</file>