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5F"/>
          <w:sz w:val="32"/>
          <w:szCs w:val="32"/>
        </w:rPr>
        <w:t xml:space="preserve">SEDAS — Supervisor Consultation Minutes #1</w:t>
      </w:r>
    </w:p>
    <w:p>
      <w:pPr>
        <w:spacing w:after="280"/>
        <w:jc w:val="center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MIS5320 Applied IS Project — Part B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tcW w:type="dxa" w:w="25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 / time</w:t>
            </w:r>
          </w:p>
        </w:tc>
        <w:tc>
          <w:tcPr>
            <w:tcW w:type="dxa" w:w="6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Thursday 16 July 2026, 11:30 (Week 2 consultation)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Attendees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Dr Chandana Withana (supervisor); Ashraful Islam (240135); [list attending members]</w:t>
            </w:r>
          </w:p>
        </w:tc>
      </w:tr>
      <w:tr>
        <w:trPr>
          <w:tblHeader w:val="false"/>
        </w:trPr>
        <w:tc>
          <w:tcPr>
            <w:tcW w:type="dxa" w:w="25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Apologies</w:t>
            </w:r>
          </w:p>
        </w:tc>
        <w:tc>
          <w:tcPr>
            <w:tcW w:type="dxa" w:w="67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[if any]</w:t>
            </w:r>
          </w:p>
        </w:tc>
      </w:tr>
      <w:tr>
        <w:trPr>
          <w:tblHeader w:val="false"/>
        </w:trPr>
        <w:tc>
          <w:tcPr>
            <w:tcW w:type="dxa" w:w="2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Recorded by</w:t>
            </w:r>
          </w:p>
        </w:tc>
        <w:tc>
          <w:tcPr>
            <w:tcW w:type="dxa" w:w="6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Ashraful Islam</w:t>
            </w:r>
          </w:p>
        </w:tc>
      </w:tr>
    </w:tbl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1. Discussion Points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Benchmark requirement.</w:t>
      </w:r>
      <w:r>
        <w:rPr>
          <w:rFonts w:ascii="Calibri" w:cs="Calibri" w:eastAsia="Calibri" w:hAnsi="Calibri"/>
          <w:sz w:val="22"/>
          <w:szCs w:val="22"/>
        </w:rPr>
        <w:t xml:space="preserve"> A recent (post-2020) peer-reviewed paper using a freely available dataset must anchor the project: use the same dataset, identify the parameters the paper used, apply our framework to that dataset, and compare results like-for-like. Without a shared dataset (or a dataset covering our parameters), comparison is not meaningful.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Dataset.</w:t>
      </w:r>
      <w:r>
        <w:rPr>
          <w:rFonts w:ascii="Calibri" w:cs="Calibri" w:eastAsia="Calibri" w:hAnsi="Calibri"/>
          <w:sz w:val="22"/>
          <w:szCs w:val="22"/>
        </w:rPr>
        <w:t xml:space="preserve"> If our current dataset coincides with a published paper, that is acceptable and preferred ('that's good, you can use it'). Team confirmed the dataset in use is the Kaggle combined phishing corpus; source-paper verification actioned (see Action 1).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Prototype and AI use.</w:t>
      </w:r>
      <w:r>
        <w:rPr>
          <w:rFonts w:ascii="Calibri" w:cs="Calibri" w:eastAsia="Calibri" w:hAnsi="Calibri"/>
          <w:sz w:val="22"/>
          <w:szCs w:val="22"/>
        </w:rPr>
        <w:t xml:space="preserve"> Team demonstrated the working prototype (email/message classification with label output). Supervisor confirmed this direction is fine; AI assistance is acceptable provided the resulting program represents our own framework and the justification is grounded in the dataset comparison.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Schedule.</w:t>
      </w:r>
      <w:r>
        <w:rPr>
          <w:rFonts w:ascii="Calibri" w:cs="Calibri" w:eastAsia="Calibri" w:hAnsi="Calibri"/>
          <w:sz w:val="22"/>
          <w:szCs w:val="22"/>
        </w:rPr>
        <w:t xml:space="preserve"> No submission in Week 2. Week 3 submission combines Week 2 + Week 3 progress in one project log, accompanied by two sets of meeting minutes. Minutes must be maintained weekly and available for spot checks. Week 4: preliminary results (execution must begin now). Week ~5: individual walk-throughs — each member explains their part one by one. Week 6: final results.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Teamwork and GitHub.</w:t>
      </w:r>
      <w:r>
        <w:rPr>
          <w:rFonts w:ascii="Calibri" w:cs="Calibri" w:eastAsia="Calibri" w:hAnsi="Calibri"/>
          <w:sz w:val="22"/>
          <w:szCs w:val="22"/>
        </w:rPr>
        <w:t xml:space="preserve"> Work must be split across the team; single-person concentration is 'very risky'. Continue sharing via GitHub; supervisor will perform random checks of commit history. Supervisor's GitHub username requested by email so he can be added as a collaborator.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 noted by supervisor.</w:t>
      </w:r>
      <w:r>
        <w:rPr>
          <w:rFonts w:ascii="Calibri" w:cs="Calibri" w:eastAsia="Calibri" w:hAnsi="Calibri"/>
          <w:sz w:val="22"/>
          <w:szCs w:val="22"/>
        </w:rPr>
        <w:t xml:space="preserve"> Results are unknown until execution; if results disappoint, the team must identify what to add to demonstrate contribution. Early benchmark work in the next two weeks reduces this risk.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2. Decisions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Adopt Al-Subaiey et al. (2024), Computers and Electrical Engineering 120:109625 — the source paper of our exact dataset (same 82.5k-email corpus, TF-IDF, SVM, F1 0.99, XAI, web deployment) — as the primary benchmark. [confirmed post-meeting]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Add an SVM replication and retain the DistilBERT extension so SEDAS results are compared like-for-like against the published benchmark on identical data.</w:t>
      </w:r>
    </w:p>
    <w:p>
      <w:pPr>
        <w:pStyle w:val="ListParagraph"/>
        <w:numPr>
          <w:ilvl w:val="0"/>
          <w:numId w:val="2"/>
        </w:numPr>
        <w:spacing w:after="80" w:line="270"/>
      </w:pPr>
      <w:r>
        <w:rPr>
          <w:rFonts w:ascii="Calibri" w:cs="Calibri" w:eastAsia="Calibri" w:hAnsi="Calibri"/>
          <w:sz w:val="22"/>
          <w:szCs w:val="22"/>
        </w:rPr>
        <w:t xml:space="preserve">Institute weekly team meeting minutes in docs/minutes/ in the repository.</w:t>
      </w:r>
    </w:p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3. Actions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5300"/>
        <w:gridCol w:w="1700"/>
        <w:gridCol w:w="1500"/>
      </w:tblGrid>
      <w:tr>
        <w:trPr>
          <w:tblHeader/>
        </w:trPr>
        <w:tc>
          <w:tcPr>
            <w:tcW w:type="dxa" w:w="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3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7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1500"/>
            <w:shd w:fill="1F4E5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Due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Verify and document the dataset's source paper, its parameters and published results (benchmark justification document)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Ashraful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Before Week 3 consult</w:t>
            </w:r>
          </w:p>
        </w:tc>
      </w:tr>
      <w:tr>
        <w:trPr>
          <w:tblHeader w:val="false"/>
        </w:trPr>
        <w:tc>
          <w:tcPr>
            <w:tcW w:type="dxa" w:w="7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5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Implement SVM replication on the identical pipeline; record accuracy/precision/recall/F1/FP-rate</w:t>
            </w:r>
          </w:p>
        </w:tc>
        <w:tc>
          <w:tcPr>
            <w:tcW w:type="dxa" w:w="17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Ashraful + [member]</w:t>
            </w:r>
          </w:p>
        </w:tc>
        <w:tc>
          <w:tcPr>
            <w:tcW w:type="dxa" w:w="15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Week 3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Add supervisor as GitHub collaborator on receipt of username; maintain meaningful commit history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Ashraful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On reply</w:t>
            </w:r>
          </w:p>
        </w:tc>
      </w:tr>
      <w:tr>
        <w:trPr>
          <w:tblHeader w:val="false"/>
        </w:trPr>
        <w:tc>
          <w:tcPr>
            <w:tcW w:type="dxa" w:w="7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5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Allocate modules across all four members and evidence individual commits</w:t>
            </w:r>
          </w:p>
        </w:tc>
        <w:tc>
          <w:tcPr>
            <w:tcW w:type="dxa" w:w="17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</w:t>
            </w:r>
          </w:p>
        </w:tc>
        <w:tc>
          <w:tcPr>
            <w:tcW w:type="dxa" w:w="15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Week 2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53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Prepare combined Week 2+3 project log with two meeting minutes attached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All (log custodian compiles)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Week 3 submission</w:t>
            </w:r>
          </w:p>
        </w:tc>
      </w:tr>
      <w:tr>
        <w:trPr>
          <w:tblHeader w:val="false"/>
        </w:trPr>
        <w:tc>
          <w:tcPr>
            <w:tcW w:type="dxa" w:w="7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53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Begin DistilBERT extension for preliminary results</w:t>
            </w:r>
          </w:p>
        </w:tc>
        <w:tc>
          <w:tcPr>
            <w:tcW w:type="dxa" w:w="17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[member] + Ashraful</w:t>
            </w:r>
          </w:p>
        </w:tc>
        <w:tc>
          <w:tcPr>
            <w:tcW w:type="dxa" w:w="1500"/>
            <w:shd w:fill="F4F8F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 w:val="false"/>
                <w:bCs w:val="false"/>
                <w:sz w:val="19"/>
                <w:szCs w:val="19"/>
              </w:rPr>
              <w:t xml:space="preserve">Week 4</w:t>
            </w:r>
          </w:p>
        </w:tc>
      </w:tr>
    </w:tbl>
    <w:p>
      <w:pPr>
        <w:pStyle w:val="Heading1"/>
        <w:spacing w:after="150" w:before="340"/>
      </w:pPr>
      <w:r>
        <w:rPr>
          <w:rFonts w:ascii="Calibri" w:cs="Calibri" w:eastAsia="Calibri" w:hAnsi="Calibri"/>
          <w:b/>
          <w:bCs/>
          <w:color w:val="1F4E5F"/>
          <w:sz w:val="28"/>
          <w:szCs w:val="28"/>
        </w:rPr>
        <w:t xml:space="preserve">4. Next Meeting</w:t>
      </w:r>
    </w:p>
    <w:p>
      <w:pPr>
        <w:spacing w:after="130" w:line="276"/>
        <w:jc w:val="both"/>
      </w:pPr>
      <w:r>
        <w:rPr>
          <w:rFonts w:ascii="Calibri" w:cs="Calibri" w:eastAsia="Calibri" w:hAnsi="Calibri"/>
          <w:sz w:val="22"/>
          <w:szCs w:val="22"/>
        </w:rPr>
        <w:t xml:space="preserve">Thursday 23 July 2026, 11:30 — agenda: benchmark justification review; module allocation confirmation; SVM replication results.</w:t>
      </w:r>
    </w:p>
    <w:sectPr>
      <w:pgSz w:w="11906" w:h="16838" w:orient="portrait"/>
      <w:pgMar w:top="1080" w:right="1180" w:bottom="1080" w:left="11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31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2026-07-16T02:36:05.582Z</dcterms:created>
  <dcterms:modified xsi:type="dcterms:W3CDTF">2026-07-16T02:36:05.582Z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