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5F"/>
          <w:sz w:val="32"/>
          <w:szCs w:val="32"/>
        </w:rPr>
        <w:t xml:space="preserve">SEDAS — Supervisor Consultation Minutes #3</w:t>
      </w:r>
    </w:p>
    <w:p>
      <w:pPr>
        <w:spacing w:after="280"/>
        <w:jc w:val="center"/>
      </w:pPr>
      <w:r>
        <w:rPr>
          <w:rFonts w:ascii="Calibri" w:cs="Calibri" w:eastAsia="Calibri" w:hAnsi="Calibri"/>
          <w:i/>
          <w:iCs/>
          <w:sz w:val="21"/>
          <w:szCs w:val="21"/>
        </w:rPr>
        <w:t xml:space="preserve">MIS5320 Applied IS Project — Part 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Date / time</w:t>
            </w:r>
          </w:p>
        </w:tc>
        <w:tc>
          <w:tcPr>
            <w:tcW w:type="dxa" w:w="67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23 July 2026 (Week 3 consultation)</w:t>
            </w:r>
          </w:p>
        </w:tc>
      </w:tr>
      <w:tr>
        <w:trPr>
          <w:tblHeader w:val="false"/>
        </w:trPr>
        <w:tc>
          <w:tcPr>
            <w:tcW w:type="dxa" w:w="25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Attendees</w:t>
            </w:r>
          </w:p>
        </w:tc>
        <w:tc>
          <w:tcPr>
            <w:tcW w:type="dxa" w:w="6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Dr Chandana Withana (supervisor); Ashraful Islam (240135); [list attending members]</w:t>
            </w:r>
          </w:p>
        </w:tc>
      </w:tr>
      <w:tr>
        <w:trPr>
          <w:tblHeader w:val="false"/>
        </w:trPr>
        <w:tc>
          <w:tcPr>
            <w:tcW w:type="dxa" w:w="25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Recorded by</w:t>
            </w:r>
          </w:p>
        </w:tc>
        <w:tc>
          <w:tcPr>
            <w:tcW w:type="dxa" w:w="6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Ashraful Islam</w:t>
            </w:r>
          </w:p>
        </w:tc>
      </w:tr>
    </w:tbl>
    <w:p>
      <w:pPr>
        <w:pStyle w:val="Heading1"/>
        <w:spacing w:after="150" w:before="340"/>
      </w:pPr>
      <w:r>
        <w:rPr>
          <w:rFonts w:ascii="Calibri" w:cs="Calibri" w:eastAsia="Calibri" w:hAnsi="Calibri"/>
          <w:b/>
          <w:bCs/>
          <w:color w:val="1F4E5F"/>
          <w:sz w:val="28"/>
          <w:szCs w:val="28"/>
        </w:rPr>
        <w:t xml:space="preserve">1. Discussion Points</w:t>
      </w:r>
    </w:p>
    <w:p>
      <w:pPr>
        <w:pStyle w:val="ListParagraph"/>
        <w:numPr>
          <w:ilvl w:val="0"/>
          <w:numId w:val="2"/>
        </w:numPr>
        <w:spacing w:after="80" w:line="270"/>
      </w:pPr>
      <w:r>
        <w:rPr>
          <w:rFonts w:ascii="Calibri" w:cs="Calibri" w:eastAsia="Calibri" w:hAnsi="Calibri"/>
          <w:b/>
          <w:bCs/>
          <w:sz w:val="22"/>
          <w:szCs w:val="22"/>
        </w:rPr>
        <w:t xml:space="preserve">Run all of the paper's methods, not just one.</w:t>
      </w:r>
      <w:r>
        <w:rPr>
          <w:rFonts w:ascii="Calibri" w:cs="Calibri" w:eastAsia="Calibri" w:hAnsi="Calibri"/>
          <w:sz w:val="22"/>
          <w:szCs w:val="22"/>
        </w:rPr>
        <w:t xml:space="preserve"> The supervisor directed the team to replicate every machine learning method used in the benchmark paper [41] (Al-Subaiey et al., 2024) — not a single algorithm — before comparing results. The paper compared multiple classical ML methods (e.g. SVM, Random Forest); the team must run the same methods on the same data before drawing conclusions.</w:t>
      </w:r>
    </w:p>
    <w:p>
      <w:pPr>
        <w:pStyle w:val="ListParagraph"/>
        <w:numPr>
          <w:ilvl w:val="0"/>
          <w:numId w:val="2"/>
        </w:numPr>
        <w:spacing w:after="80" w:line="270"/>
      </w:pPr>
      <w:r>
        <w:rPr>
          <w:rFonts w:ascii="Calibri" w:cs="Calibri" w:eastAsia="Calibri" w:hAnsi="Calibri"/>
          <w:b/>
          <w:bCs/>
          <w:sz w:val="22"/>
          <w:szCs w:val="22"/>
        </w:rPr>
        <w:t xml:space="preserve">Explore methods beyond the paper.</w:t>
      </w:r>
      <w:r>
        <w:rPr>
          <w:rFonts w:ascii="Calibri" w:cs="Calibri" w:eastAsia="Calibri" w:hAnsi="Calibri"/>
          <w:sz w:val="22"/>
          <w:szCs w:val="22"/>
        </w:rPr>
        <w:t xml:space="preserve"> After replicating the paper's methods, the team should explore additional machine learning approaches the paper did NOT use — XGBoost was named specifically — to determine whether an alternative method performs better than the published approach.</w:t>
      </w:r>
    </w:p>
    <w:p>
      <w:pPr>
        <w:pStyle w:val="ListParagraph"/>
        <w:numPr>
          <w:ilvl w:val="0"/>
          <w:numId w:val="2"/>
        </w:numPr>
        <w:spacing w:after="80" w:line="270"/>
      </w:pPr>
      <w:r>
        <w:rPr>
          <w:rFonts w:ascii="Calibri" w:cs="Calibri" w:eastAsia="Calibri" w:hAnsi="Calibri"/>
          <w:b/>
          <w:bCs/>
          <w:sz w:val="22"/>
          <w:szCs w:val="22"/>
        </w:rPr>
        <w:t xml:space="preserve">Attribute differences correctly.</w:t>
      </w:r>
      <w:r>
        <w:rPr>
          <w:rFonts w:ascii="Calibri" w:cs="Calibri" w:eastAsia="Calibri" w:hAnsi="Calibri"/>
          <w:sz w:val="22"/>
          <w:szCs w:val="22"/>
        </w:rPr>
        <w:t xml:space="preserve"> Any performance difference must be attributed correctly: is it because of the machine learning method used, or because of different parameters/configuration? The team should reason about this explicitly rather than simply reporting a number.</w:t>
      </w:r>
    </w:p>
    <w:p>
      <w:pPr>
        <w:pStyle w:val="ListParagraph"/>
        <w:numPr>
          <w:ilvl w:val="0"/>
          <w:numId w:val="2"/>
        </w:numPr>
        <w:spacing w:after="80" w:line="270"/>
      </w:pPr>
      <w:r>
        <w:rPr>
          <w:rFonts w:ascii="Calibri" w:cs="Calibri" w:eastAsia="Calibri" w:hAnsi="Calibri"/>
          <w:b/>
          <w:bCs/>
          <w:sz w:val="22"/>
          <w:szCs w:val="22"/>
        </w:rPr>
        <w:t xml:space="preserve">Report structure to mirror the benchmark paper.</w:t>
      </w:r>
      <w:r>
        <w:rPr>
          <w:rFonts w:ascii="Calibri" w:cs="Calibri" w:eastAsia="Calibri" w:hAnsi="Calibri"/>
          <w:sz w:val="22"/>
          <w:szCs w:val="22"/>
        </w:rPr>
        <w:t xml:space="preserve"> Once results are obtained, they should also inform the final report, which should follow the structure and sequence of the benchmark paper as a guide (“take this as your Bible”), reusing literature-review content from the Part A report where applicable.</w:t>
      </w:r>
    </w:p>
    <w:p>
      <w:pPr>
        <w:pStyle w:val="ListParagraph"/>
        <w:numPr>
          <w:ilvl w:val="0"/>
          <w:numId w:val="2"/>
        </w:numPr>
        <w:spacing w:after="80" w:line="270"/>
      </w:pPr>
      <w:r>
        <w:rPr>
          <w:rFonts w:ascii="Calibri" w:cs="Calibri" w:eastAsia="Calibri" w:hAnsi="Calibri"/>
          <w:b/>
          <w:bCs/>
          <w:sz w:val="22"/>
          <w:szCs w:val="22"/>
        </w:rPr>
        <w:t xml:space="preserve">Submission schedule confirmed.</w:t>
      </w:r>
      <w:r>
        <w:rPr>
          <w:rFonts w:ascii="Calibri" w:cs="Calibri" w:eastAsia="Calibri" w:hAnsi="Calibri"/>
          <w:sz w:val="22"/>
          <w:szCs w:val="22"/>
        </w:rPr>
        <w:t xml:space="preserve"> This week's submission is the combined log for the previous two weeks (Weeks 2 and 3) with meeting minutes attached. Next week (Week 4), the team must bring preliminary results — described as “very important.”</w:t>
      </w:r>
    </w:p>
    <w:p>
      <w:pPr>
        <w:pStyle w:val="ListParagraph"/>
        <w:numPr>
          <w:ilvl w:val="0"/>
          <w:numId w:val="2"/>
        </w:numPr>
        <w:spacing w:after="80" w:line="270"/>
      </w:pPr>
      <w:r>
        <w:rPr>
          <w:rFonts w:ascii="Calibri" w:cs="Calibri" w:eastAsia="Calibri" w:hAnsi="Calibri"/>
          <w:b/>
          <w:bCs/>
          <w:sz w:val="22"/>
          <w:szCs w:val="22"/>
        </w:rPr>
        <w:t xml:space="preserve">Every member must be able to run and explain the work (critical).</w:t>
      </w:r>
      <w:r>
        <w:rPr>
          <w:rFonts w:ascii="Calibri" w:cs="Calibri" w:eastAsia="Calibri" w:hAnsi="Calibri"/>
          <w:sz w:val="22"/>
          <w:szCs w:val="22"/>
        </w:rPr>
        <w:t xml:space="preserve"> The supervisor was explicit and firm: assessment marks are shared across the team (“out of 10”), and if the member(s) who did not do the programming cannot explain the execution, the team's overall mark falls substantially even if the technical work itself is strong. Every member must be able to run the code themselves and explain what it does and why — not the underlying theory of machine learning in depth, but the execution: what was run, what it produced, and what it means.</w:t>
      </w:r>
    </w:p>
    <w:p>
      <w:pPr>
        <w:pStyle w:val="ListParagraph"/>
        <w:numPr>
          <w:ilvl w:val="0"/>
          <w:numId w:val="2"/>
        </w:numPr>
        <w:spacing w:after="80" w:line="270"/>
      </w:pPr>
      <w:r>
        <w:rPr>
          <w:rFonts w:ascii="Calibri" w:cs="Calibri" w:eastAsia="Calibri" w:hAnsi="Calibri"/>
          <w:b/>
          <w:bCs/>
          <w:sz w:val="22"/>
          <w:szCs w:val="22"/>
        </w:rPr>
        <w:t xml:space="preserve">Team response and resolution.</w:t>
      </w:r>
      <w:r>
        <w:rPr>
          <w:rFonts w:ascii="Calibri" w:cs="Calibri" w:eastAsia="Calibri" w:hAnsi="Calibri"/>
          <w:sz w:val="22"/>
          <w:szCs w:val="22"/>
        </w:rPr>
        <w:t xml:space="preserve"> Team members who have not previously done machine learning acknowledged this directly. The supervisor's guidance: sit with the member who does understand it and learn the execution and explanation — this is a team responsibility, not something that can be delegated away.</w:t>
      </w:r>
    </w:p>
    <w:p>
      <w:pPr>
        <w:pStyle w:val="ListParagraph"/>
        <w:numPr>
          <w:ilvl w:val="0"/>
          <w:numId w:val="2"/>
        </w:numPr>
        <w:spacing w:after="80" w:line="270"/>
      </w:pPr>
      <w:r>
        <w:rPr>
          <w:rFonts w:ascii="Calibri" w:cs="Calibri" w:eastAsia="Calibri" w:hAnsi="Calibri"/>
          <w:b/>
          <w:bCs/>
          <w:sz w:val="22"/>
          <w:szCs w:val="22"/>
        </w:rPr>
        <w:t xml:space="preserve">Frontend/web development does not count toward marks.</w:t>
      </w:r>
      <w:r>
        <w:rPr>
          <w:rFonts w:ascii="Calibri" w:cs="Calibri" w:eastAsia="Calibri" w:hAnsi="Calibri"/>
          <w:sz w:val="22"/>
          <w:szCs w:val="22"/>
        </w:rPr>
        <w:t xml:space="preserve"> The supervisor was shown the frontend demo page (email and URL checking interface). Explicit guidance given: web development work does not contribute to the assessed marks for this unit and should be treated as optional/additional only. It does not add value toward the mark. The team's priority must be the real machine learning execution, explanation, and results.</w:t>
      </w:r>
    </w:p>
    <w:p>
      <w:pPr>
        <w:pStyle w:val="ListParagraph"/>
        <w:numPr>
          <w:ilvl w:val="0"/>
          <w:numId w:val="2"/>
        </w:numPr>
        <w:spacing w:after="80" w:line="270"/>
      </w:pPr>
      <w:r>
        <w:rPr>
          <w:rFonts w:ascii="Calibri" w:cs="Calibri" w:eastAsia="Calibri" w:hAnsi="Calibri"/>
          <w:b/>
          <w:bCs/>
          <w:sz w:val="22"/>
          <w:szCs w:val="22"/>
        </w:rPr>
        <w:t xml:space="preserve">Sequencing confirmed.</w:t>
      </w:r>
      <w:r>
        <w:rPr>
          <w:rFonts w:ascii="Calibri" w:cs="Calibri" w:eastAsia="Calibri" w:hAnsi="Calibri"/>
          <w:sz w:val="22"/>
          <w:szCs w:val="22"/>
        </w:rPr>
        <w:t xml:space="preserve"> The immediate priority is to finish running the paper's methods against the team's six evaluation parameters (accuracy, precision, recall, F1, false-positive rate, latency), after which additional machine learning methods will be reviewed with the supervisor.</w:t>
      </w:r>
    </w:p>
    <w:p>
      <w:pPr>
        <w:pStyle w:val="Heading1"/>
        <w:spacing w:after="150" w:before="340"/>
      </w:pPr>
      <w:r>
        <w:rPr>
          <w:rFonts w:ascii="Calibri" w:cs="Calibri" w:eastAsia="Calibri" w:hAnsi="Calibri"/>
          <w:b/>
          <w:bCs/>
          <w:color w:val="1F4E5F"/>
          <w:sz w:val="28"/>
          <w:szCs w:val="28"/>
        </w:rPr>
        <w:t xml:space="preserve">2. Decisions</w:t>
      </w:r>
    </w:p>
    <w:p>
      <w:pPr>
        <w:pStyle w:val="ListParagraph"/>
        <w:numPr>
          <w:ilvl w:val="0"/>
          <w:numId w:val="2"/>
        </w:numPr>
        <w:spacing w:after="80" w:line="270"/>
      </w:pPr>
      <w:r>
        <w:rPr>
          <w:rFonts w:ascii="Calibri" w:cs="Calibri" w:eastAsia="Calibri" w:hAnsi="Calibri"/>
          <w:sz w:val="22"/>
          <w:szCs w:val="22"/>
        </w:rPr>
        <w:t xml:space="preserve">Replicate all three of paper [41]'s methods — SVC (linear kernel), Random Forest, and Multinomial Naive Bayes — on the identical dataset before reporting any comparison.</w:t>
      </w:r>
    </w:p>
    <w:p>
      <w:pPr>
        <w:pStyle w:val="ListParagraph"/>
        <w:numPr>
          <w:ilvl w:val="0"/>
          <w:numId w:val="2"/>
        </w:numPr>
        <w:spacing w:after="80" w:line="270"/>
      </w:pPr>
      <w:r>
        <w:rPr>
          <w:rFonts w:ascii="Calibri" w:cs="Calibri" w:eastAsia="Calibri" w:hAnsi="Calibri"/>
          <w:sz w:val="22"/>
          <w:szCs w:val="22"/>
        </w:rPr>
        <w:t xml:space="preserve">Add XGBoost as the team's “beyond the paper” method for Week 4 preliminary results, as directed.</w:t>
      </w:r>
    </w:p>
    <w:p>
      <w:pPr>
        <w:pStyle w:val="ListParagraph"/>
        <w:numPr>
          <w:ilvl w:val="0"/>
          <w:numId w:val="2"/>
        </w:numPr>
        <w:spacing w:after="80" w:line="270"/>
      </w:pPr>
      <w:r>
        <w:rPr>
          <w:rFonts w:ascii="Calibri" w:cs="Calibri" w:eastAsia="Calibri" w:hAnsi="Calibri"/>
          <w:sz w:val="22"/>
          <w:szCs w:val="22"/>
        </w:rPr>
        <w:t xml:space="preserve">Hold a team teach-in session so every member can independently run and explain the model comparison script before the next consultation.</w:t>
      </w:r>
    </w:p>
    <w:p>
      <w:pPr>
        <w:pStyle w:val="ListParagraph"/>
        <w:numPr>
          <w:ilvl w:val="0"/>
          <w:numId w:val="2"/>
        </w:numPr>
        <w:spacing w:after="80" w:line="270"/>
      </w:pPr>
      <w:r>
        <w:rPr>
          <w:rFonts w:ascii="Calibri" w:cs="Calibri" w:eastAsia="Calibri" w:hAnsi="Calibri"/>
          <w:sz w:val="22"/>
          <w:szCs w:val="22"/>
        </w:rPr>
        <w:t xml:space="preserve">De-prioritise further frontend/dashboard work relative to ML execution, evaluation and report-writing for the remainder of the sprint.</w:t>
      </w:r>
    </w:p>
    <w:p>
      <w:pPr>
        <w:pStyle w:val="ListParagraph"/>
        <w:numPr>
          <w:ilvl w:val="0"/>
          <w:numId w:val="2"/>
        </w:numPr>
        <w:spacing w:after="80" w:line="270"/>
      </w:pPr>
      <w:r>
        <w:rPr>
          <w:rFonts w:ascii="Calibri" w:cs="Calibri" w:eastAsia="Calibri" w:hAnsi="Calibri"/>
          <w:sz w:val="22"/>
          <w:szCs w:val="22"/>
        </w:rPr>
        <w:t xml:space="preserve">Begin drafting the final report using the benchmark paper's section structure as a template, reusing Part A literature review content.</w:t>
      </w:r>
    </w:p>
    <w:p>
      <w:pPr>
        <w:pStyle w:val="Heading1"/>
        <w:spacing w:after="150" w:before="340"/>
      </w:pPr>
      <w:r>
        <w:rPr>
          <w:rFonts w:ascii="Calibri" w:cs="Calibri" w:eastAsia="Calibri" w:hAnsi="Calibri"/>
          <w:b/>
          <w:bCs/>
          <w:color w:val="1F4E5F"/>
          <w:sz w:val="28"/>
          <w:szCs w:val="28"/>
        </w:rPr>
        <w:t xml:space="preserve">3. 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1700"/>
        <w:gridCol w:w="1500"/>
      </w:tblGrid>
      <w:tr>
        <w:trPr>
          <w:tblHeader/>
        </w:trPr>
        <w:tc>
          <w:tcPr>
            <w:tcW w:type="dxa" w:w="7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w:t>
            </w:r>
          </w:p>
        </w:tc>
        <w:tc>
          <w:tcPr>
            <w:tcW w:type="dxa" w:w="53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Action</w:t>
            </w:r>
          </w:p>
        </w:tc>
        <w:tc>
          <w:tcPr>
            <w:tcW w:type="dxa" w:w="17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Owner</w:t>
            </w:r>
          </w:p>
        </w:tc>
        <w:tc>
          <w:tcPr>
            <w:tcW w:type="dxa" w:w="15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Due</w:t>
            </w:r>
          </w:p>
        </w:tc>
      </w:tr>
      <w:tr>
        <w:trPr>
          <w:tblHeader w:val="false"/>
        </w:trPr>
        <w:tc>
          <w:tcPr>
            <w:tcW w:type="dxa" w:w="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1</w:t>
            </w:r>
          </w:p>
        </w:tc>
        <w:tc>
          <w:tcPr>
            <w:tcW w:type="dxa" w:w="53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Replicate SVC, Random Forest and Multinomial NB from paper [41] on the identical dataset; record accuracy, precision, recall, F1, FP rate, confusion matrix for each</w:t>
            </w:r>
          </w:p>
        </w:tc>
        <w:tc>
          <w:tcPr>
            <w:tcW w:type="dxa" w:w="1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Ashraful</w:t>
            </w:r>
          </w:p>
        </w:tc>
        <w:tc>
          <w:tcPr>
            <w:tcW w:type="dxa" w:w="15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Complete — this week</w:t>
            </w:r>
          </w:p>
        </w:tc>
      </w:tr>
      <w:tr>
        <w:trPr>
          <w:tblHeader w:val="false"/>
        </w:trPr>
        <w:tc>
          <w:tcPr>
            <w:tcW w:type="dxa" w:w="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2</w:t>
            </w:r>
          </w:p>
        </w:tc>
        <w:tc>
          <w:tcPr>
            <w:tcW w:type="dxa" w:w="53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Add XGBoost as an additional method not used in the paper; compare against all four other models</w:t>
            </w:r>
          </w:p>
        </w:tc>
        <w:tc>
          <w:tcPr>
            <w:tcW w:type="dxa" w:w="1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Ashraful</w:t>
            </w:r>
          </w:p>
        </w:tc>
        <w:tc>
          <w:tcPr>
            <w:tcW w:type="dxa" w:w="15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This week</w:t>
            </w:r>
          </w:p>
        </w:tc>
      </w:tr>
      <w:tr>
        <w:trPr>
          <w:tblHeader w:val="false"/>
        </w:trPr>
        <w:tc>
          <w:tcPr>
            <w:tcW w:type="dxa" w:w="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3</w:t>
            </w:r>
          </w:p>
        </w:tc>
        <w:tc>
          <w:tcPr>
            <w:tcW w:type="dxa" w:w="53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Run a team teach-in so Huzaifa, Sonu and Dominic can each run compare_models.py independently and explain the dataset, train/test split, evaluation metrics and results in their own words</w:t>
            </w:r>
          </w:p>
        </w:tc>
        <w:tc>
          <w:tcPr>
            <w:tcW w:type="dxa" w:w="1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Ashraful (facilitator); Huzaifa, Sonu, Dominic (participants)</w:t>
            </w:r>
          </w:p>
        </w:tc>
        <w:tc>
          <w:tcPr>
            <w:tcW w:type="dxa" w:w="15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Before Week 4 consultation</w:t>
            </w:r>
          </w:p>
        </w:tc>
      </w:tr>
      <w:tr>
        <w:trPr>
          <w:tblHeader w:val="false"/>
        </w:trPr>
        <w:tc>
          <w:tcPr>
            <w:tcW w:type="dxa" w:w="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4</w:t>
            </w:r>
          </w:p>
        </w:tc>
        <w:tc>
          <w:tcPr>
            <w:tcW w:type="dxa" w:w="53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Each member logs in PROJECT_LOG.md that they personally ran and understood the model comparison</w:t>
            </w:r>
          </w:p>
        </w:tc>
        <w:tc>
          <w:tcPr>
            <w:tcW w:type="dxa" w:w="1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Huzaifa, Sonu, Dominic</w:t>
            </w:r>
          </w:p>
        </w:tc>
        <w:tc>
          <w:tcPr>
            <w:tcW w:type="dxa" w:w="15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Before Week 4 consultation</w:t>
            </w:r>
          </w:p>
        </w:tc>
      </w:tr>
      <w:tr>
        <w:trPr>
          <w:tblHeader w:val="false"/>
        </w:trPr>
        <w:tc>
          <w:tcPr>
            <w:tcW w:type="dxa" w:w="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5</w:t>
            </w:r>
          </w:p>
        </w:tc>
        <w:tc>
          <w:tcPr>
            <w:tcW w:type="dxa" w:w="53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Submit combined Week 2+3 project log with Minutes #1, #2 and #3 attached</w:t>
            </w:r>
          </w:p>
        </w:tc>
        <w:tc>
          <w:tcPr>
            <w:tcW w:type="dxa" w:w="1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Ashraful / Sonu (log custodian)</w:t>
            </w:r>
          </w:p>
        </w:tc>
        <w:tc>
          <w:tcPr>
            <w:tcW w:type="dxa" w:w="15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This week</w:t>
            </w:r>
          </w:p>
        </w:tc>
      </w:tr>
      <w:tr>
        <w:trPr>
          <w:tblHeader w:val="false"/>
        </w:trPr>
        <w:tc>
          <w:tcPr>
            <w:tcW w:type="dxa" w:w="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6</w:t>
            </w:r>
          </w:p>
        </w:tc>
        <w:tc>
          <w:tcPr>
            <w:tcW w:type="dxa" w:w="53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Begin final report draft following paper [41]'s section structure; reuse Part A literature review</w:t>
            </w:r>
          </w:p>
        </w:tc>
        <w:tc>
          <w:tcPr>
            <w:tcW w:type="dxa" w:w="1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All (Ashraful integrates)</w:t>
            </w:r>
          </w:p>
        </w:tc>
        <w:tc>
          <w:tcPr>
            <w:tcW w:type="dxa" w:w="15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Ongoing from this week</w:t>
            </w:r>
          </w:p>
        </w:tc>
      </w:tr>
      <w:tr>
        <w:trPr>
          <w:tblHeader w:val="false"/>
        </w:trPr>
        <w:tc>
          <w:tcPr>
            <w:tcW w:type="dxa" w:w="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7</w:t>
            </w:r>
          </w:p>
        </w:tc>
        <w:tc>
          <w:tcPr>
            <w:tcW w:type="dxa" w:w="53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De-scope further frontend/dashboard effort; redirect time to ML execution, evaluation and report writing</w:t>
            </w:r>
          </w:p>
        </w:tc>
        <w:tc>
          <w:tcPr>
            <w:tcW w:type="dxa" w:w="1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All</w:t>
            </w:r>
          </w:p>
        </w:tc>
        <w:tc>
          <w:tcPr>
            <w:tcW w:type="dxa" w:w="15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Immediate</w:t>
            </w:r>
          </w:p>
        </w:tc>
      </w:tr>
    </w:tbl>
    <w:p>
      <w:pPr>
        <w:pStyle w:val="Heading1"/>
        <w:spacing w:after="150" w:before="340"/>
      </w:pPr>
      <w:r>
        <w:rPr>
          <w:rFonts w:ascii="Calibri" w:cs="Calibri" w:eastAsia="Calibri" w:hAnsi="Calibri"/>
          <w:b/>
          <w:bCs/>
          <w:color w:val="1F4E5F"/>
          <w:sz w:val="28"/>
          <w:szCs w:val="28"/>
        </w:rPr>
        <w:t xml:space="preserve">4. Next Meeting</w:t>
      </w:r>
    </w:p>
    <w:p>
      <w:pPr>
        <w:spacing w:after="130" w:line="276"/>
        <w:jc w:val="both"/>
      </w:pPr>
      <w:r>
        <w:rPr>
          <w:rFonts w:ascii="Calibri" w:cs="Calibri" w:eastAsia="Calibri" w:hAnsi="Calibri"/>
          <w:sz w:val="22"/>
          <w:szCs w:val="22"/>
        </w:rPr>
        <w:t xml:space="preserve">Week 4 consultation — agenda: preliminary results (all methods run and explained by the team), XGBoost comparison, and evidence that every member can explain the execution individually.</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2026-07-29T00:39:17.277Z</dcterms:created>
  <dcterms:modified xsi:type="dcterms:W3CDTF">2026-07-29T00:39:17.297Z</dcterms:modified>
</cp:coreProperties>
</file>

<file path=docProps/custom.xml><?xml version="1.0" encoding="utf-8"?>
<Properties xmlns="http://schemas.openxmlformats.org/officeDocument/2006/custom-properties" xmlns:vt="http://schemas.openxmlformats.org/officeDocument/2006/docPropsVTypes"/>
</file>